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before="120"/>
        <w:rPr>
          <w:rFonts w:hint="default" w:ascii="Arial" w:hAnsi="Arial" w:cs="Arial" w:eastAsiaTheme="minorEastAsia"/>
          <w:b/>
          <w:kern w:val="0"/>
          <w:lang w:val="en-US" w:eastAsia="zh-CN"/>
        </w:rPr>
      </w:pPr>
      <w:r>
        <w:rPr>
          <w:rFonts w:ascii="Arial" w:hAnsi="Arial" w:eastAsia="MS Mincho" w:cs="Arial"/>
          <w:b/>
          <w:kern w:val="0"/>
        </w:rPr>
        <w:t>3GPP TSG-RAN WG2 Meeting #12</w:t>
      </w:r>
      <w:r>
        <w:rPr>
          <w:rFonts w:ascii="Arial" w:hAnsi="Arial" w:cs="Arial"/>
          <w:b/>
          <w:kern w:val="0"/>
        </w:rPr>
        <w:t>9</w:t>
      </w:r>
      <w:r>
        <w:rPr>
          <w:rFonts w:hint="eastAsia" w:ascii="Arial" w:hAnsi="Arial" w:cs="Arial"/>
          <w:b/>
          <w:kern w:val="0"/>
        </w:rPr>
        <w:t>b</w:t>
      </w:r>
      <w:r>
        <w:rPr>
          <w:rFonts w:ascii="Arial" w:hAnsi="Arial" w:eastAsia="MS Mincho" w:cs="Arial"/>
          <w:b/>
          <w:kern w:val="0"/>
        </w:rPr>
        <w:tab/>
      </w:r>
      <w:r>
        <w:rPr>
          <w:rFonts w:ascii="Arial" w:hAnsi="Arial" w:eastAsia="MS Mincho" w:cs="Arial"/>
          <w:b/>
          <w:kern w:val="0"/>
        </w:rPr>
        <w:t>R2-2</w:t>
      </w:r>
      <w:r>
        <w:rPr>
          <w:rFonts w:hint="eastAsia" w:ascii="Arial" w:hAnsi="Arial" w:cs="Arial"/>
          <w:b/>
          <w:kern w:val="0"/>
        </w:rPr>
        <w:t>50</w:t>
      </w:r>
      <w:r>
        <w:rPr>
          <w:rFonts w:hint="eastAsia" w:ascii="Arial" w:hAnsi="Arial" w:cs="Arial"/>
          <w:b/>
          <w:kern w:val="0"/>
          <w:lang w:val="en-US" w:eastAsia="zh-CN"/>
        </w:rPr>
        <w:t>2863</w:t>
      </w:r>
    </w:p>
    <w:p>
      <w:pPr>
        <w:tabs>
          <w:tab w:val="left" w:pos="1701"/>
          <w:tab w:val="right" w:pos="9923"/>
        </w:tabs>
        <w:spacing w:before="120"/>
        <w:rPr>
          <w:rFonts w:ascii="Arial" w:hAnsi="Arial" w:cs="Arial"/>
          <w:b/>
          <w:kern w:val="0"/>
        </w:rPr>
      </w:pPr>
      <w:r>
        <w:rPr>
          <w:rFonts w:hint="eastAsia" w:ascii="Arial" w:hAnsi="Arial" w:eastAsia="宋体" w:cs="Arial"/>
          <w:b/>
          <w:kern w:val="0"/>
        </w:rPr>
        <w:t>Wuhan</w:t>
      </w:r>
      <w:r>
        <w:rPr>
          <w:rFonts w:ascii="Arial" w:hAnsi="Arial" w:eastAsia="MS Mincho" w:cs="Arial"/>
          <w:b/>
          <w:kern w:val="0"/>
        </w:rPr>
        <w:t xml:space="preserve">, </w:t>
      </w:r>
      <w:r>
        <w:rPr>
          <w:rFonts w:hint="eastAsia" w:ascii="Arial" w:hAnsi="Arial" w:eastAsia="宋体" w:cs="Arial"/>
          <w:b/>
          <w:kern w:val="0"/>
        </w:rPr>
        <w:t>China</w:t>
      </w:r>
      <w:r>
        <w:rPr>
          <w:rFonts w:ascii="Arial" w:hAnsi="Arial" w:eastAsia="MS Mincho" w:cs="Arial"/>
          <w:b/>
          <w:kern w:val="0"/>
        </w:rPr>
        <w:t xml:space="preserve">, </w:t>
      </w:r>
      <w:r>
        <w:rPr>
          <w:rFonts w:hint="eastAsia" w:ascii="Arial" w:hAnsi="Arial" w:eastAsia="宋体" w:cs="Arial"/>
          <w:b/>
          <w:kern w:val="0"/>
        </w:rPr>
        <w:t>April</w:t>
      </w:r>
      <w:r>
        <w:rPr>
          <w:rFonts w:ascii="Arial" w:hAnsi="Arial" w:eastAsia="MS Mincho" w:cs="Arial"/>
          <w:b/>
          <w:kern w:val="0"/>
        </w:rPr>
        <w:t xml:space="preserve">. </w:t>
      </w:r>
      <w:r>
        <w:rPr>
          <w:rFonts w:ascii="Arial" w:hAnsi="Arial" w:cs="Arial"/>
          <w:b/>
          <w:kern w:val="0"/>
        </w:rPr>
        <w:t>7</w:t>
      </w:r>
      <w:r>
        <w:rPr>
          <w:rFonts w:ascii="Arial" w:hAnsi="Arial" w:eastAsia="MS Mincho" w:cs="Arial"/>
          <w:b/>
          <w:kern w:val="0"/>
          <w:vertAlign w:val="superscript"/>
        </w:rPr>
        <w:t>th</w:t>
      </w:r>
      <w:r>
        <w:rPr>
          <w:rFonts w:ascii="Arial" w:hAnsi="Arial" w:eastAsia="MS Mincho" w:cs="Arial"/>
          <w:b/>
          <w:kern w:val="0"/>
        </w:rPr>
        <w:t>-</w:t>
      </w:r>
      <w:r>
        <w:rPr>
          <w:rFonts w:hint="eastAsia" w:ascii="Arial" w:hAnsi="Arial" w:eastAsia="宋体" w:cs="Arial"/>
          <w:b/>
          <w:kern w:val="0"/>
        </w:rPr>
        <w:t>1</w:t>
      </w:r>
      <w:r>
        <w:rPr>
          <w:rFonts w:ascii="Arial" w:hAnsi="Arial" w:eastAsia="MS Mincho" w:cs="Arial"/>
          <w:b/>
          <w:kern w:val="0"/>
        </w:rPr>
        <w:t>1</w:t>
      </w:r>
      <w:r>
        <w:rPr>
          <w:rFonts w:ascii="Arial" w:hAnsi="Arial" w:eastAsia="MS Mincho" w:cs="Arial"/>
          <w:b/>
          <w:kern w:val="0"/>
          <w:vertAlign w:val="superscript"/>
        </w:rPr>
        <w:t>th</w:t>
      </w:r>
      <w:r>
        <w:rPr>
          <w:rFonts w:ascii="Arial" w:hAnsi="Arial" w:eastAsia="MS Mincho" w:cs="Arial"/>
          <w:b/>
          <w:kern w:val="0"/>
        </w:rPr>
        <w:t>, 202</w:t>
      </w:r>
      <w:r>
        <w:rPr>
          <w:rFonts w:ascii="Arial" w:hAnsi="Arial" w:cs="Arial"/>
          <w:b/>
          <w:kern w:val="0"/>
        </w:rPr>
        <w:t>5</w:t>
      </w:r>
    </w:p>
    <w:p>
      <w:pPr>
        <w:pStyle w:val="39"/>
        <w:widowControl/>
        <w:tabs>
          <w:tab w:val="left" w:pos="5672"/>
        </w:tabs>
        <w:overflowPunct/>
        <w:autoSpaceDE/>
        <w:autoSpaceDN/>
        <w:adjustRightInd/>
        <w:spacing w:before="180"/>
        <w:jc w:val="both"/>
        <w:textAlignment w:val="auto"/>
        <w:rPr>
          <w:rFonts w:eastAsia="MS Mincho"/>
          <w:sz w:val="22"/>
          <w:szCs w:val="22"/>
          <w:lang w:val="en-US" w:eastAsia="en-US"/>
        </w:rPr>
      </w:pPr>
      <w:r>
        <w:rPr>
          <w:rFonts w:eastAsia="MS Mincho"/>
          <w:sz w:val="22"/>
          <w:szCs w:val="22"/>
          <w:lang w:val="en-US" w:eastAsia="en-US"/>
        </w:rPr>
        <w:tab/>
      </w:r>
    </w:p>
    <w:p>
      <w:pPr>
        <w:pStyle w:val="39"/>
        <w:widowControl/>
        <w:tabs>
          <w:tab w:val="left" w:pos="2268"/>
        </w:tabs>
        <w:overflowPunct/>
        <w:autoSpaceDE/>
        <w:autoSpaceDN/>
        <w:adjustRightInd/>
        <w:spacing w:after="90"/>
        <w:jc w:val="both"/>
        <w:textAlignment w:val="auto"/>
        <w:rPr>
          <w:sz w:val="22"/>
          <w:szCs w:val="22"/>
          <w:lang w:eastAsia="zh-CN"/>
        </w:rPr>
      </w:pPr>
      <w:r>
        <w:rPr>
          <w:rFonts w:hint="eastAsia" w:eastAsia="MS Mincho"/>
          <w:sz w:val="22"/>
          <w:szCs w:val="22"/>
          <w:lang w:eastAsia="en-US"/>
        </w:rPr>
        <w:t>Agenda Item:</w:t>
      </w:r>
      <w:r>
        <w:rPr>
          <w:rFonts w:hint="eastAsia"/>
          <w:sz w:val="22"/>
          <w:szCs w:val="22"/>
          <w:lang w:eastAsia="zh-CN"/>
        </w:rPr>
        <w:tab/>
      </w:r>
      <w:r>
        <w:rPr>
          <w:rFonts w:hint="eastAsia"/>
          <w:sz w:val="22"/>
          <w:szCs w:val="22"/>
          <w:lang w:val="en-US" w:eastAsia="zh-CN"/>
        </w:rPr>
        <w:t>8</w:t>
      </w:r>
      <w:r>
        <w:rPr>
          <w:rFonts w:hint="eastAsia"/>
          <w:sz w:val="22"/>
          <w:szCs w:val="22"/>
          <w:lang w:eastAsia="zh-CN"/>
        </w:rPr>
        <w:t>.</w:t>
      </w:r>
      <w:r>
        <w:rPr>
          <w:rFonts w:hint="eastAsia"/>
          <w:sz w:val="22"/>
          <w:szCs w:val="22"/>
          <w:lang w:val="en-US" w:eastAsia="zh-CN"/>
        </w:rPr>
        <w:t>8</w:t>
      </w:r>
      <w:r>
        <w:rPr>
          <w:rFonts w:hint="eastAsia"/>
          <w:sz w:val="22"/>
          <w:szCs w:val="22"/>
          <w:lang w:eastAsia="zh-CN"/>
        </w:rPr>
        <w:t>.</w:t>
      </w:r>
      <w:r>
        <w:rPr>
          <w:rFonts w:hint="eastAsia"/>
          <w:sz w:val="22"/>
          <w:szCs w:val="22"/>
          <w:lang w:val="en-US" w:eastAsia="zh-CN"/>
        </w:rPr>
        <w:t>2</w:t>
      </w:r>
    </w:p>
    <w:p>
      <w:pPr>
        <w:pStyle w:val="39"/>
        <w:widowControl/>
        <w:tabs>
          <w:tab w:val="left" w:pos="2268"/>
          <w:tab w:val="center" w:pos="4536"/>
          <w:tab w:val="right" w:pos="9072"/>
        </w:tabs>
        <w:overflowPunct/>
        <w:autoSpaceDE/>
        <w:autoSpaceDN/>
        <w:adjustRightInd/>
        <w:spacing w:after="90"/>
        <w:jc w:val="both"/>
        <w:textAlignment w:val="auto"/>
        <w:rPr>
          <w:rFonts w:eastAsia="宋体"/>
          <w:sz w:val="22"/>
          <w:szCs w:val="22"/>
          <w:lang w:val="en-US" w:eastAsia="zh-CN"/>
        </w:rPr>
      </w:pPr>
      <w:r>
        <w:rPr>
          <w:rFonts w:eastAsia="MS Mincho"/>
          <w:sz w:val="22"/>
          <w:szCs w:val="22"/>
          <w:lang w:eastAsia="en-US"/>
        </w:rPr>
        <w:t>Source:</w:t>
      </w:r>
      <w:r>
        <w:rPr>
          <w:rFonts w:hint="eastAsia"/>
          <w:sz w:val="22"/>
          <w:szCs w:val="22"/>
          <w:lang w:eastAsia="zh-CN"/>
        </w:rPr>
        <w:t xml:space="preserve"> </w:t>
      </w:r>
      <w:r>
        <w:rPr>
          <w:rFonts w:hint="eastAsia"/>
          <w:sz w:val="22"/>
          <w:szCs w:val="22"/>
          <w:lang w:eastAsia="zh-CN"/>
        </w:rPr>
        <w:tab/>
      </w:r>
      <w:r>
        <w:rPr>
          <w:rFonts w:hint="eastAsia" w:eastAsia="MS Mincho"/>
          <w:sz w:val="22"/>
          <w:szCs w:val="22"/>
          <w:lang w:eastAsia="en-US"/>
        </w:rPr>
        <w:t>C</w:t>
      </w:r>
      <w:r>
        <w:rPr>
          <w:rFonts w:hint="eastAsia" w:eastAsia="宋体"/>
          <w:sz w:val="22"/>
          <w:szCs w:val="22"/>
          <w:lang w:val="en-US" w:eastAsia="zh-CN"/>
        </w:rPr>
        <w:t>SCN</w:t>
      </w:r>
    </w:p>
    <w:p>
      <w:pPr>
        <w:pStyle w:val="39"/>
        <w:widowControl/>
        <w:tabs>
          <w:tab w:val="left" w:pos="2268"/>
          <w:tab w:val="center" w:pos="4536"/>
          <w:tab w:val="right" w:pos="9072"/>
        </w:tabs>
        <w:overflowPunct/>
        <w:autoSpaceDE/>
        <w:autoSpaceDN/>
        <w:adjustRightInd/>
        <w:spacing w:after="90"/>
        <w:ind w:left="2268" w:hanging="2268"/>
        <w:jc w:val="both"/>
        <w:textAlignment w:val="auto"/>
        <w:rPr>
          <w:sz w:val="22"/>
          <w:szCs w:val="22"/>
          <w:lang w:val="en-US" w:eastAsia="zh-CN"/>
        </w:rPr>
      </w:pPr>
      <w:r>
        <w:rPr>
          <w:rFonts w:eastAsia="MS Mincho"/>
          <w:sz w:val="22"/>
          <w:szCs w:val="22"/>
          <w:lang w:eastAsia="en-US"/>
        </w:rPr>
        <w:t>Title:</w:t>
      </w:r>
      <w:r>
        <w:rPr>
          <w:rFonts w:hint="eastAsia"/>
          <w:sz w:val="22"/>
          <w:szCs w:val="22"/>
          <w:lang w:eastAsia="zh-CN"/>
        </w:rPr>
        <w:t xml:space="preserve"> </w:t>
      </w:r>
      <w:r>
        <w:rPr>
          <w:rFonts w:hint="eastAsia"/>
          <w:sz w:val="22"/>
          <w:szCs w:val="22"/>
          <w:lang w:eastAsia="zh-CN"/>
        </w:rPr>
        <w:tab/>
      </w:r>
      <w:r>
        <w:rPr>
          <w:sz w:val="22"/>
          <w:szCs w:val="22"/>
          <w:lang w:eastAsia="zh-CN"/>
        </w:rPr>
        <w:t xml:space="preserve">Discussion on Downlink </w:t>
      </w:r>
      <w:r>
        <w:rPr>
          <w:rFonts w:hint="eastAsia"/>
          <w:sz w:val="22"/>
          <w:szCs w:val="22"/>
          <w:lang w:eastAsia="zh-CN"/>
        </w:rPr>
        <w:t>C</w:t>
      </w:r>
      <w:r>
        <w:rPr>
          <w:sz w:val="22"/>
          <w:szCs w:val="22"/>
          <w:lang w:eastAsia="zh-CN"/>
        </w:rPr>
        <w:t xml:space="preserve">overage </w:t>
      </w:r>
      <w:r>
        <w:rPr>
          <w:rFonts w:hint="eastAsia"/>
          <w:sz w:val="22"/>
          <w:szCs w:val="22"/>
          <w:lang w:eastAsia="zh-CN"/>
        </w:rPr>
        <w:t>E</w:t>
      </w:r>
      <w:r>
        <w:rPr>
          <w:sz w:val="22"/>
          <w:szCs w:val="22"/>
          <w:lang w:eastAsia="zh-CN"/>
        </w:rPr>
        <w:t>nhancements</w:t>
      </w:r>
    </w:p>
    <w:p>
      <w:pPr>
        <w:pStyle w:val="39"/>
        <w:widowControl/>
        <w:tabs>
          <w:tab w:val="left" w:pos="2268"/>
          <w:tab w:val="center" w:pos="4536"/>
          <w:tab w:val="right" w:pos="9072"/>
        </w:tabs>
        <w:overflowPunct/>
        <w:autoSpaceDE/>
        <w:autoSpaceDN/>
        <w:adjustRightInd/>
        <w:spacing w:after="90"/>
        <w:jc w:val="both"/>
        <w:textAlignment w:val="auto"/>
        <w:rPr>
          <w:rFonts w:eastAsia="MS Mincho"/>
          <w:sz w:val="22"/>
          <w:szCs w:val="22"/>
          <w:lang w:eastAsia="en-US"/>
        </w:rPr>
      </w:pPr>
      <w:r>
        <w:rPr>
          <w:rFonts w:eastAsia="MS Mincho"/>
          <w:sz w:val="22"/>
          <w:szCs w:val="22"/>
          <w:lang w:eastAsia="en-US"/>
        </w:rPr>
        <w:t>Document for:</w:t>
      </w:r>
      <w:r>
        <w:rPr>
          <w:rFonts w:hint="eastAsia"/>
          <w:sz w:val="22"/>
          <w:szCs w:val="22"/>
          <w:lang w:eastAsia="zh-CN"/>
        </w:rPr>
        <w:t xml:space="preserve"> </w:t>
      </w:r>
      <w:r>
        <w:rPr>
          <w:rFonts w:hint="eastAsia"/>
          <w:sz w:val="22"/>
          <w:szCs w:val="22"/>
          <w:lang w:eastAsia="zh-CN"/>
        </w:rPr>
        <w:tab/>
      </w:r>
      <w:r>
        <w:rPr>
          <w:rFonts w:hint="eastAsia" w:eastAsia="MS Mincho"/>
          <w:sz w:val="22"/>
          <w:szCs w:val="22"/>
          <w:lang w:eastAsia="en-US"/>
        </w:rPr>
        <w:t>Discussion</w:t>
      </w:r>
      <w:r>
        <w:rPr>
          <w:rFonts w:eastAsia="MS Mincho"/>
          <w:sz w:val="22"/>
          <w:szCs w:val="22"/>
          <w:lang w:eastAsia="en-US"/>
        </w:rPr>
        <w:t xml:space="preserve"> and Decision</w:t>
      </w:r>
    </w:p>
    <w:p>
      <w:pPr>
        <w:pStyle w:val="2"/>
        <w:spacing w:before="180"/>
        <w:ind w:left="850" w:hanging="849" w:hangingChars="236"/>
        <w:jc w:val="both"/>
      </w:pPr>
      <w:bookmarkStart w:id="0" w:name="_Ref35586532"/>
      <w:r>
        <w:t>Introduction</w:t>
      </w:r>
      <w:bookmarkEnd w:id="0"/>
    </w:p>
    <w:p>
      <w:pPr>
        <w:tabs>
          <w:tab w:val="center" w:pos="4819"/>
        </w:tabs>
        <w:spacing w:after="180"/>
        <w:jc w:val="both"/>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 xml:space="preserve">Regarding downlink coverage enhancements in NR NTN, </w:t>
      </w:r>
      <w:r>
        <w:rPr>
          <w:rFonts w:hint="eastAsia" w:ascii="Times New Roman" w:hAnsi="Times New Roman" w:cs="Times New Roman"/>
          <w:kern w:val="0"/>
          <w:sz w:val="20"/>
          <w:szCs w:val="20"/>
        </w:rPr>
        <w:t xml:space="preserve">some </w:t>
      </w:r>
      <w:r>
        <w:rPr>
          <w:rFonts w:hint="eastAsia" w:ascii="Times New Roman" w:hAnsi="Times New Roman" w:cs="Times New Roman"/>
          <w:kern w:val="0"/>
          <w:sz w:val="20"/>
          <w:szCs w:val="20"/>
          <w:lang w:val="en-GB"/>
        </w:rPr>
        <w:t>agreements and observations achieved, in RAN2#129</w:t>
      </w:r>
      <w:r>
        <w:rPr>
          <w:rFonts w:hint="eastAsia" w:ascii="Times New Roman" w:hAnsi="Times New Roman" w:cs="Times New Roman"/>
          <w:kern w:val="0"/>
          <w:sz w:val="20"/>
          <w:szCs w:val="20"/>
        </w:rPr>
        <w:t xml:space="preserve"> [1][2] shown</w:t>
      </w:r>
      <w:r>
        <w:rPr>
          <w:rFonts w:hint="eastAsia" w:ascii="Times New Roman" w:hAnsi="Times New Roman" w:cs="Times New Roman"/>
          <w:kern w:val="0"/>
          <w:sz w:val="20"/>
          <w:szCs w:val="20"/>
          <w:lang w:val="en-GB"/>
        </w:rPr>
        <w:t xml:space="preserve"> as follows:</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tabs>
                <w:tab w:val="center" w:pos="4819"/>
              </w:tabs>
              <w:spacing w:after="180"/>
              <w:jc w:val="both"/>
              <w:rPr>
                <w:rFonts w:ascii="Times New Roman" w:hAnsi="Times New Roman" w:cs="Times New Roman"/>
                <w:kern w:val="0"/>
                <w:sz w:val="20"/>
                <w:szCs w:val="20"/>
                <w:lang w:val="de-DE" w:eastAsia="en-US"/>
              </w:rPr>
            </w:pPr>
            <w:r>
              <w:rPr>
                <w:rFonts w:hint="eastAsia" w:ascii="Times New Roman" w:hAnsi="Times New Roman" w:cs="Times New Roman"/>
                <w:kern w:val="0"/>
                <w:sz w:val="20"/>
                <w:szCs w:val="20"/>
                <w:lang w:val="en-US" w:eastAsia="zh-CN"/>
              </w:rPr>
              <w:t>Agreements:</w:t>
            </w:r>
          </w:p>
          <w:p>
            <w:pPr>
              <w:numPr>
                <w:ilvl w:val="0"/>
                <w:numId w:val="18"/>
              </w:numPr>
              <w:tabs>
                <w:tab w:val="center" w:pos="4819"/>
              </w:tabs>
              <w:spacing w:after="180"/>
              <w:jc w:val="both"/>
              <w:rPr>
                <w:rFonts w:ascii="Times New Roman" w:hAnsi="Times New Roman" w:cs="Times New Roman"/>
                <w:kern w:val="0"/>
                <w:sz w:val="20"/>
                <w:szCs w:val="20"/>
                <w:lang w:val="de-DE" w:eastAsia="en-US"/>
              </w:rPr>
            </w:pPr>
            <w:r>
              <w:rPr>
                <w:rFonts w:hint="eastAsia" w:ascii="Times New Roman" w:hAnsi="Times New Roman" w:cs="Times New Roman"/>
                <w:kern w:val="0"/>
                <w:sz w:val="20"/>
                <w:szCs w:val="20"/>
                <w:lang w:val="en-US" w:eastAsia="en-US"/>
              </w:rPr>
              <w:t>RAN2 assumes it will be possible to have different SSB periodicity among neighbour cells in the same frequency layer</w:t>
            </w:r>
          </w:p>
          <w:p>
            <w:pPr>
              <w:numPr>
                <w:ilvl w:val="0"/>
                <w:numId w:val="18"/>
              </w:numPr>
              <w:tabs>
                <w:tab w:val="center" w:pos="4819"/>
              </w:tabs>
              <w:spacing w:after="180"/>
              <w:jc w:val="both"/>
              <w:rPr>
                <w:rFonts w:ascii="Times New Roman" w:hAnsi="Times New Roman" w:cs="Times New Roman"/>
                <w:kern w:val="0"/>
                <w:sz w:val="20"/>
                <w:szCs w:val="20"/>
                <w:lang w:val="de-DE" w:eastAsia="en-US"/>
              </w:rPr>
            </w:pPr>
            <w:r>
              <w:rPr>
                <w:rFonts w:hint="eastAsia" w:ascii="Times New Roman" w:hAnsi="Times New Roman" w:cs="Times New Roman"/>
                <w:kern w:val="0"/>
                <w:sz w:val="20"/>
                <w:szCs w:val="20"/>
                <w:lang w:val="en-US" w:eastAsia="en-US"/>
              </w:rPr>
              <w:t>RAN2 assumes that in a NR NTN cell, SSB beam sweeping in different spatial directions is possible as in a NR TN cell: the whole cell is covered by the different SSB beams in half-frame</w:t>
            </w:r>
          </w:p>
          <w:p>
            <w:pPr>
              <w:numPr>
                <w:ilvl w:val="0"/>
                <w:numId w:val="18"/>
              </w:numPr>
              <w:tabs>
                <w:tab w:val="center" w:pos="4819"/>
              </w:tabs>
              <w:spacing w:after="180"/>
              <w:jc w:val="both"/>
              <w:rPr>
                <w:rFonts w:ascii="Times New Roman" w:hAnsi="Times New Roman" w:cs="Times New Roman"/>
                <w:kern w:val="0"/>
                <w:sz w:val="20"/>
                <w:szCs w:val="20"/>
                <w:lang w:val="de-DE" w:eastAsia="en-US"/>
              </w:rPr>
            </w:pPr>
            <w:r>
              <w:rPr>
                <w:rFonts w:hint="eastAsia" w:ascii="Times New Roman" w:hAnsi="Times New Roman" w:cs="Times New Roman"/>
                <w:kern w:val="0"/>
                <w:sz w:val="20"/>
                <w:szCs w:val="20"/>
                <w:lang w:val="en-US" w:eastAsia="en-US"/>
              </w:rPr>
              <w:t>RAN2 also assumes that, with the current status of RAN1 discussion, if one cell is defined by multiple “satellite beams”, the satellite beams are all simultaneously active or inactive (“beam hopping” applies equally to all the satellite beams of a given cell)</w:t>
            </w:r>
          </w:p>
          <w:p>
            <w:pPr>
              <w:numPr>
                <w:ilvl w:val="0"/>
                <w:numId w:val="18"/>
              </w:numPr>
              <w:tabs>
                <w:tab w:val="center" w:pos="4819"/>
              </w:tabs>
              <w:spacing w:after="180"/>
              <w:jc w:val="both"/>
              <w:rPr>
                <w:rFonts w:ascii="Times New Roman" w:hAnsi="Times New Roman" w:cs="Times New Roman"/>
                <w:kern w:val="0"/>
                <w:sz w:val="20"/>
                <w:szCs w:val="20"/>
                <w:lang w:val="de-DE" w:eastAsia="en-US"/>
              </w:rPr>
            </w:pPr>
            <w:bookmarkStart w:id="1" w:name="OLE_LINK11"/>
            <w:r>
              <w:rPr>
                <w:rFonts w:hint="eastAsia" w:ascii="Times New Roman" w:hAnsi="Times New Roman" w:cs="Times New Roman"/>
                <w:kern w:val="0"/>
                <w:sz w:val="20"/>
                <w:szCs w:val="20"/>
                <w:lang w:val="en-US" w:eastAsia="en-US"/>
              </w:rPr>
              <w:t>The number of SMTC</w:t>
            </w:r>
            <w:bookmarkEnd w:id="1"/>
            <w:r>
              <w:rPr>
                <w:rFonts w:hint="eastAsia" w:ascii="Times New Roman" w:hAnsi="Times New Roman" w:cs="Times New Roman"/>
                <w:kern w:val="0"/>
                <w:sz w:val="20"/>
                <w:szCs w:val="20"/>
                <w:lang w:val="en-US" w:eastAsia="en-US"/>
              </w:rPr>
              <w:t>/gaps a UE needs to consider at any time will not be increased further</w:t>
            </w:r>
          </w:p>
        </w:tc>
      </w:tr>
    </w:tbl>
    <w:p>
      <w:pPr>
        <w:tabs>
          <w:tab w:val="center" w:pos="4819"/>
        </w:tabs>
        <w:spacing w:after="180"/>
        <w:jc w:val="both"/>
        <w:rPr>
          <w:rFonts w:ascii="Times New Roman" w:hAnsi="Times New Roman" w:cs="Times New Roman"/>
          <w:kern w:val="0"/>
          <w:sz w:val="20"/>
          <w:szCs w:val="20"/>
          <w:lang w:val="en-GB"/>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tabs>
                <w:tab w:val="center" w:pos="4819"/>
              </w:tabs>
              <w:spacing w:after="180"/>
              <w:jc w:val="both"/>
              <w:rPr>
                <w:rFonts w:ascii="Times New Roman" w:hAnsi="Times New Roman" w:cs="Times New Roman"/>
                <w:kern w:val="0"/>
                <w:sz w:val="20"/>
                <w:szCs w:val="20"/>
                <w:lang w:val="en-GB" w:eastAsia="en-US"/>
              </w:rPr>
            </w:pPr>
            <w:r>
              <w:rPr>
                <w:rFonts w:hint="eastAsia" w:ascii="Times New Roman" w:hAnsi="Times New Roman" w:cs="Times New Roman"/>
                <w:kern w:val="0"/>
                <w:sz w:val="20"/>
                <w:szCs w:val="20"/>
                <w:lang w:val="en-GB" w:eastAsia="en-US"/>
              </w:rPr>
              <w:t>From RAN2 perspective, we support option a (clustered cells illuminated) and option b (scattered cells illuminated) for further discussion on SMTC. No LS is sent to RAN1.</w:t>
            </w:r>
          </w:p>
          <w:p>
            <w:pPr>
              <w:tabs>
                <w:tab w:val="center" w:pos="4819"/>
              </w:tabs>
              <w:spacing w:after="180"/>
              <w:jc w:val="both"/>
              <w:rPr>
                <w:rFonts w:ascii="Times New Roman" w:hAnsi="Times New Roman" w:cs="Times New Roman"/>
                <w:kern w:val="0"/>
                <w:sz w:val="20"/>
                <w:szCs w:val="20"/>
                <w:lang w:val="en-GB" w:eastAsia="en-US"/>
              </w:rPr>
            </w:pPr>
            <w:r>
              <w:rPr>
                <w:rFonts w:hint="eastAsia" w:ascii="Times New Roman" w:hAnsi="Times New Roman" w:cs="Times New Roman"/>
                <w:kern w:val="0"/>
                <w:sz w:val="20"/>
                <w:szCs w:val="20"/>
                <w:lang w:val="en-GB" w:eastAsia="en-US"/>
              </w:rPr>
              <w:t>RAN2 observes that if the cells active simultaneously are in clusters, existing SMTC mechanism (a maximum of 4 SMTCs per frequency) may be sufficient (FFS if any solution identified for option b applies to option a as well).</w:t>
            </w:r>
          </w:p>
          <w:p>
            <w:pPr>
              <w:tabs>
                <w:tab w:val="center" w:pos="4819"/>
              </w:tabs>
              <w:spacing w:after="180"/>
              <w:jc w:val="both"/>
              <w:rPr>
                <w:rFonts w:ascii="Times New Roman" w:hAnsi="Times New Roman" w:cs="Times New Roman"/>
                <w:kern w:val="0"/>
                <w:sz w:val="20"/>
                <w:szCs w:val="20"/>
                <w:lang w:val="en-GB" w:eastAsia="en-US"/>
              </w:rPr>
            </w:pPr>
            <w:r>
              <w:rPr>
                <w:rFonts w:hint="eastAsia" w:ascii="Times New Roman" w:hAnsi="Times New Roman" w:cs="Times New Roman"/>
                <w:kern w:val="0"/>
                <w:sz w:val="20"/>
                <w:szCs w:val="20"/>
                <w:lang w:val="en-GB" w:eastAsia="en-US"/>
              </w:rPr>
              <w:t>RAN2 observes that if the cells active simultaneously are scattered, (for the case of intra-frequency neighbouring cells), the SSBs of surrounding neighbour cells may be transmitted at different times and existing SMTC mechanism may not be enough.</w:t>
            </w:r>
          </w:p>
        </w:tc>
      </w:tr>
    </w:tbl>
    <w:p>
      <w:pPr>
        <w:tabs>
          <w:tab w:val="center" w:pos="4819"/>
        </w:tabs>
        <w:spacing w:after="180"/>
        <w:jc w:val="both"/>
        <w:rPr>
          <w:rFonts w:ascii="Times New Roman" w:hAnsi="Times New Roman" w:cs="Times New Roman"/>
          <w:kern w:val="0"/>
          <w:sz w:val="20"/>
          <w:szCs w:val="20"/>
          <w:lang w:val="en-GB"/>
        </w:rPr>
      </w:pPr>
    </w:p>
    <w:p>
      <w:pPr>
        <w:tabs>
          <w:tab w:val="left" w:pos="7350"/>
        </w:tabs>
        <w:spacing w:before="180" w:after="180"/>
        <w:rPr>
          <w:rFonts w:ascii="Times New Roman" w:hAnsi="Times New Roman" w:cs="Times New Roman"/>
          <w:kern w:val="0"/>
          <w:sz w:val="20"/>
          <w:szCs w:val="20"/>
          <w:lang w:val="en-GB"/>
        </w:rPr>
      </w:pPr>
      <w:r>
        <w:rPr>
          <w:rFonts w:hint="eastAsia" w:ascii="Times New Roman" w:hAnsi="Times New Roman" w:eastAsia="Malgun Gothic" w:cs="Times New Roman"/>
          <w:kern w:val="0"/>
          <w:sz w:val="20"/>
          <w:szCs w:val="20"/>
          <w:lang w:val="en-GB"/>
        </w:rPr>
        <w:t>Furthermore</w:t>
      </w:r>
      <w:r>
        <w:rPr>
          <w:rFonts w:ascii="Times New Roman" w:hAnsi="Times New Roman" w:eastAsia="Malgun Gothic" w:cs="Times New Roman"/>
          <w:kern w:val="0"/>
          <w:sz w:val="20"/>
          <w:szCs w:val="20"/>
          <w:lang w:val="en-GB"/>
        </w:rPr>
        <w:t xml:space="preserve">, </w:t>
      </w:r>
      <w:r>
        <w:rPr>
          <w:rFonts w:hint="eastAsia" w:ascii="Times New Roman" w:hAnsi="Times New Roman" w:cs="Times New Roman"/>
          <w:kern w:val="0"/>
          <w:sz w:val="20"/>
          <w:szCs w:val="20"/>
          <w:lang w:val="en-GB"/>
        </w:rPr>
        <w:t>the discussion on cell barring cloud be continued in this meeting</w:t>
      </w:r>
      <w:r>
        <w:rPr>
          <w:rFonts w:ascii="Times New Roman" w:hAnsi="Times New Roman" w:eastAsia="Malgun Gothic" w:cs="Times New Roman"/>
          <w:kern w:val="0"/>
          <w:sz w:val="20"/>
          <w:szCs w:val="20"/>
          <w:lang w:val="en-GB"/>
        </w:rPr>
        <w:t>.</w:t>
      </w:r>
    </w:p>
    <w:tbl>
      <w:tblPr>
        <w:tblStyle w:val="54"/>
        <w:tblW w:w="50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widowControl/>
              <w:numPr>
                <w:ilvl w:val="0"/>
                <w:numId w:val="19"/>
              </w:numPr>
              <w:overflowPunct w:val="0"/>
              <w:autoSpaceDE w:val="0"/>
              <w:autoSpaceDN w:val="0"/>
              <w:adjustRightInd w:val="0"/>
              <w:spacing w:before="40"/>
              <w:jc w:val="both"/>
              <w:textAlignment w:val="baseline"/>
              <w:rPr>
                <w:rFonts w:ascii="Arial" w:hAnsi="Arial" w:eastAsia="Times New Roman" w:cs="Times New Roman"/>
                <w:i/>
                <w:kern w:val="0"/>
                <w:sz w:val="20"/>
                <w:szCs w:val="20"/>
                <w:lang w:val="en-GB" w:eastAsia="ja-JP"/>
              </w:rPr>
            </w:pPr>
            <w:bookmarkStart w:id="2" w:name="_Hlk193644419"/>
            <w:r>
              <w:rPr>
                <w:rFonts w:ascii="Arial" w:hAnsi="Arial" w:eastAsia="Times New Roman" w:cs="Times New Roman"/>
                <w:i/>
                <w:kern w:val="0"/>
                <w:sz w:val="20"/>
                <w:szCs w:val="20"/>
                <w:lang w:val="en-GB" w:eastAsia="ja-JP"/>
              </w:rPr>
              <w:t>Cell barring</w:t>
            </w:r>
          </w:p>
          <w:p>
            <w:pPr>
              <w:widowControl/>
              <w:overflowPunct w:val="0"/>
              <w:autoSpaceDE w:val="0"/>
              <w:autoSpaceDN w:val="0"/>
              <w:adjustRightInd w:val="0"/>
              <w:spacing w:before="40"/>
              <w:jc w:val="both"/>
              <w:textAlignment w:val="baseline"/>
              <w:rPr>
                <w:rFonts w:ascii="Arial" w:hAnsi="Arial" w:eastAsia="Times New Roman" w:cs="Times New Roman"/>
                <w:i/>
                <w:kern w:val="0"/>
                <w:sz w:val="20"/>
                <w:szCs w:val="20"/>
                <w:lang w:val="en-GB" w:eastAsia="ja-JP"/>
              </w:rPr>
            </w:pPr>
            <w:r>
              <w:rPr>
                <w:rFonts w:ascii="Arial" w:hAnsi="Arial" w:eastAsia="Times New Roman" w:cs="Times New Roman"/>
                <w:i/>
                <w:kern w:val="0"/>
                <w:sz w:val="20"/>
                <w:szCs w:val="20"/>
                <w:lang w:val="en-GB" w:eastAsia="ja-JP"/>
              </w:rPr>
              <w:t>Proposal 6: It is up to NW implementation to set cellBarredNTN-r17 to barred to bar UEs not supporting R19 extended SSB periodicity. A new field cellBarredNTN-r19 (value is set to barred or notBarred) is introduced for future use. UEs supporting extended SSB periodicity ignore cellBarredNTN-r17 if the new cellBarredNTN-r19 is present, and follow cellBarredNTN-r17 if the new cellBarredNTN-r19 is absent.</w:t>
            </w:r>
          </w:p>
          <w:p>
            <w:pPr>
              <w:widowControl/>
              <w:tabs>
                <w:tab w:val="left" w:pos="1619"/>
              </w:tabs>
              <w:spacing w:before="60" w:after="120" w:afterLines="50"/>
              <w:ind w:left="1616" w:hanging="357"/>
              <w:jc w:val="both"/>
              <w:rPr>
                <w:rFonts w:ascii="Arial" w:hAnsi="Arial" w:cs="Times New Roman"/>
                <w:b/>
                <w:kern w:val="0"/>
                <w:sz w:val="20"/>
                <w:szCs w:val="20"/>
                <w:lang w:val="en-GB" w:eastAsia="en-US"/>
              </w:rPr>
            </w:pPr>
            <w:r>
              <w:rPr>
                <w:rFonts w:ascii="Arial" w:hAnsi="Arial" w:eastAsia="Times New Roman" w:cs="Times New Roman"/>
                <w:b/>
                <w:kern w:val="0"/>
                <w:sz w:val="20"/>
                <w:szCs w:val="20"/>
                <w:lang w:val="en-GB" w:eastAsia="ja-JP"/>
              </w:rPr>
              <w:sym w:font="Symbol" w:char="F0DE"/>
            </w:r>
            <w:r>
              <w:rPr>
                <w:rFonts w:hint="eastAsia" w:ascii="Arial" w:hAnsi="Arial" w:cs="Times New Roman"/>
                <w:b/>
                <w:kern w:val="0"/>
                <w:sz w:val="20"/>
                <w:szCs w:val="20"/>
                <w:lang w:val="en-GB" w:eastAsia="zh-CN"/>
              </w:rPr>
              <w:t xml:space="preserve"> </w:t>
            </w:r>
            <w:r>
              <w:rPr>
                <w:rFonts w:ascii="Arial" w:hAnsi="Arial" w:eastAsia="Times New Roman" w:cs="Times New Roman"/>
                <w:b/>
                <w:kern w:val="0"/>
                <w:sz w:val="20"/>
                <w:szCs w:val="20"/>
                <w:lang w:val="en-GB" w:eastAsia="ja-JP"/>
              </w:rPr>
              <w:t>Continue in the next meeting</w:t>
            </w:r>
          </w:p>
        </w:tc>
      </w:tr>
      <w:bookmarkEnd w:id="2"/>
    </w:tbl>
    <w:p>
      <w:pPr>
        <w:tabs>
          <w:tab w:val="center" w:pos="4819"/>
        </w:tabs>
        <w:spacing w:after="180"/>
        <w:jc w:val="both"/>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 xml:space="preserve">In this contribution, we </w:t>
      </w:r>
      <w:r>
        <w:rPr>
          <w:rFonts w:hint="eastAsia" w:ascii="Times New Roman" w:hAnsi="Times New Roman" w:cs="Times New Roman"/>
          <w:kern w:val="0"/>
          <w:sz w:val="20"/>
          <w:szCs w:val="20"/>
        </w:rPr>
        <w:t xml:space="preserve">discuss </w:t>
      </w:r>
      <w:r>
        <w:rPr>
          <w:rFonts w:hint="eastAsia" w:ascii="Times New Roman" w:hAnsi="Times New Roman" w:cs="Times New Roman"/>
          <w:kern w:val="0"/>
          <w:sz w:val="20"/>
          <w:szCs w:val="20"/>
          <w:lang w:val="en-GB"/>
        </w:rPr>
        <w:t>system</w:t>
      </w:r>
      <w:r>
        <w:rPr>
          <w:rFonts w:hint="eastAsia" w:ascii="Times New Roman" w:hAnsi="Times New Roman" w:cs="Times New Roman"/>
          <w:kern w:val="0"/>
          <w:sz w:val="20"/>
          <w:szCs w:val="20"/>
        </w:rPr>
        <w:t xml:space="preserve"> </w:t>
      </w:r>
      <w:r>
        <w:rPr>
          <w:rFonts w:hint="eastAsia" w:ascii="Times New Roman" w:hAnsi="Times New Roman" w:cs="Times New Roman"/>
          <w:kern w:val="0"/>
          <w:sz w:val="20"/>
          <w:szCs w:val="20"/>
          <w:lang w:val="en-GB"/>
        </w:rPr>
        <w:t>level downlink coverage enhancement</w:t>
      </w:r>
      <w:r>
        <w:rPr>
          <w:rFonts w:hint="eastAsia" w:ascii="Times New Roman" w:hAnsi="Times New Roman" w:cs="Times New Roman"/>
          <w:kern w:val="0"/>
          <w:sz w:val="20"/>
          <w:szCs w:val="20"/>
        </w:rPr>
        <w:t>s</w:t>
      </w:r>
      <w:r>
        <w:rPr>
          <w:rFonts w:hint="eastAsia" w:ascii="Times New Roman" w:hAnsi="Times New Roman" w:cs="Times New Roman"/>
          <w:kern w:val="0"/>
          <w:sz w:val="20"/>
          <w:szCs w:val="20"/>
          <w:lang w:val="en-GB"/>
        </w:rPr>
        <w:t xml:space="preserve"> in NR NTN</w:t>
      </w:r>
      <w:r>
        <w:rPr>
          <w:rFonts w:hint="eastAsia" w:ascii="Times New Roman" w:hAnsi="Times New Roman" w:cs="Times New Roman"/>
          <w:kern w:val="0"/>
          <w:sz w:val="20"/>
          <w:szCs w:val="20"/>
        </w:rPr>
        <w:t xml:space="preserve"> based on the agreements[1] and observations [2] of RAN2#129 meeting </w:t>
      </w:r>
      <w:r>
        <w:rPr>
          <w:rFonts w:hint="eastAsia" w:ascii="Times New Roman" w:hAnsi="Times New Roman" w:cs="Times New Roman"/>
          <w:kern w:val="0"/>
          <w:sz w:val="20"/>
          <w:szCs w:val="20"/>
          <w:lang w:val="en-GB"/>
        </w:rPr>
        <w:t>.</w:t>
      </w:r>
    </w:p>
    <w:p>
      <w:pPr>
        <w:pStyle w:val="2"/>
        <w:spacing w:before="180"/>
        <w:ind w:left="850" w:hanging="849" w:hangingChars="236"/>
        <w:jc w:val="both"/>
        <w:rPr>
          <w:lang w:eastAsia="zh-CN"/>
        </w:rPr>
      </w:pPr>
      <w:r>
        <w:t>Discussion</w:t>
      </w:r>
    </w:p>
    <w:p>
      <w:pPr>
        <w:tabs>
          <w:tab w:val="center" w:pos="4819"/>
        </w:tabs>
        <w:spacing w:after="180"/>
        <w:rPr>
          <w:rFonts w:ascii="Times New Roman" w:hAnsi="Times New Roman" w:cs="Times New Roman"/>
          <w:b/>
          <w:i/>
          <w:kern w:val="0"/>
          <w:sz w:val="20"/>
          <w:szCs w:val="20"/>
          <w:u w:val="single"/>
          <w:lang w:val="en-GB"/>
        </w:rPr>
      </w:pPr>
      <w:r>
        <w:rPr>
          <w:rFonts w:hint="eastAsia" w:ascii="Times New Roman" w:hAnsi="Times New Roman" w:cs="Times New Roman"/>
          <w:b/>
          <w:i/>
          <w:kern w:val="0"/>
          <w:sz w:val="20"/>
          <w:szCs w:val="20"/>
          <w:u w:val="single"/>
          <w:lang w:val="en-GB"/>
        </w:rPr>
        <w:t>2</w:t>
      </w:r>
      <w:r>
        <w:rPr>
          <w:rFonts w:ascii="Times New Roman" w:hAnsi="Times New Roman" w:cs="Times New Roman"/>
          <w:b/>
          <w:i/>
          <w:kern w:val="0"/>
          <w:sz w:val="20"/>
          <w:szCs w:val="20"/>
          <w:u w:val="single"/>
          <w:lang w:val="en-GB"/>
        </w:rPr>
        <w:t>.</w:t>
      </w:r>
      <w:r>
        <w:rPr>
          <w:rFonts w:hint="eastAsia" w:ascii="Times New Roman" w:hAnsi="Times New Roman" w:cs="Times New Roman"/>
          <w:b/>
          <w:i/>
          <w:kern w:val="0"/>
          <w:sz w:val="20"/>
          <w:szCs w:val="20"/>
          <w:u w:val="single"/>
        </w:rPr>
        <w:t>1</w:t>
      </w:r>
      <w:r>
        <w:rPr>
          <w:rFonts w:ascii="Times New Roman" w:hAnsi="Times New Roman" w:cs="Times New Roman"/>
          <w:b/>
          <w:i/>
          <w:kern w:val="0"/>
          <w:sz w:val="20"/>
          <w:szCs w:val="20"/>
          <w:u w:val="single"/>
          <w:lang w:val="en-GB"/>
        </w:rPr>
        <w:t xml:space="preserve"> </w:t>
      </w:r>
      <w:r>
        <w:rPr>
          <w:rFonts w:hint="eastAsia" w:ascii="Times New Roman" w:hAnsi="Times New Roman" w:cs="Times New Roman"/>
          <w:b/>
          <w:i/>
          <w:kern w:val="0"/>
          <w:sz w:val="20"/>
          <w:szCs w:val="20"/>
          <w:u w:val="single"/>
        </w:rPr>
        <w:t>SMTC impacts in RRC_IDLE and RRC_Inactive</w:t>
      </w:r>
    </w:p>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In the discussion during the last meeting, it was observed from the RAN2 perspective that both option a and option b illumination mode received support [1]. From our point of view, the actual situation may encompass more than these two options, which depends on the implementation scope of network deployment. Certainly, we can still consider the scattered beam of option b as typical scenario for further analysis to address the issue of insufficient SMTC configuration.</w:t>
      </w:r>
    </w:p>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According to the RAN plenary's conclusion, the maximum SSB periodicity in NTN is 160 ms. Additionally, based on the RAN2#129 chairnotes in DL-CE, it has consensus that there is beam sweeping within a cell and beam hopping between cells. Taking SET 1-2 as an example, which comprises 1058 footprints and features 16 simultaneously active beams. Each cell comprises 4 SSB beams, identified by the SSB index #0, #1, #2, and #3, as shown below.</w:t>
      </w:r>
    </w:p>
    <w:p>
      <w:pPr>
        <w:tabs>
          <w:tab w:val="center" w:pos="4819"/>
        </w:tabs>
        <w:spacing w:after="180"/>
        <w:jc w:val="center"/>
      </w:pPr>
      <w:r>
        <w:drawing>
          <wp:inline distT="0" distB="0" distL="114300" distR="114300">
            <wp:extent cx="3078480" cy="2897505"/>
            <wp:effectExtent l="0" t="0" r="8890" b="635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8"/>
                    <a:stretch>
                      <a:fillRect/>
                    </a:stretch>
                  </pic:blipFill>
                  <pic:spPr>
                    <a:xfrm>
                      <a:off x="0" y="0"/>
                      <a:ext cx="3078480" cy="2897505"/>
                    </a:xfrm>
                    <a:prstGeom prst="rect">
                      <a:avLst/>
                    </a:prstGeom>
                    <a:noFill/>
                    <a:ln>
                      <a:noFill/>
                    </a:ln>
                  </pic:spPr>
                </pic:pic>
              </a:graphicData>
            </a:graphic>
          </wp:inline>
        </w:drawing>
      </w:r>
    </w:p>
    <w:p>
      <w:pPr>
        <w:tabs>
          <w:tab w:val="center" w:pos="4819"/>
        </w:tabs>
        <w:spacing w:after="180"/>
        <w:jc w:val="center"/>
      </w:pPr>
      <w:r>
        <w:drawing>
          <wp:inline distT="0" distB="0" distL="114300" distR="114300">
            <wp:extent cx="6111240" cy="871855"/>
            <wp:effectExtent l="0" t="0" r="9525" b="254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9"/>
                    <a:stretch>
                      <a:fillRect/>
                    </a:stretch>
                  </pic:blipFill>
                  <pic:spPr>
                    <a:xfrm>
                      <a:off x="0" y="0"/>
                      <a:ext cx="6111240" cy="871855"/>
                    </a:xfrm>
                    <a:prstGeom prst="rect">
                      <a:avLst/>
                    </a:prstGeom>
                    <a:noFill/>
                    <a:ln>
                      <a:noFill/>
                    </a:ln>
                  </pic:spPr>
                </pic:pic>
              </a:graphicData>
            </a:graphic>
          </wp:inline>
        </w:drawing>
      </w:r>
    </w:p>
    <w:p>
      <w:pPr>
        <w:tabs>
          <w:tab w:val="center" w:pos="4819"/>
        </w:tabs>
        <w:spacing w:after="180"/>
        <w:jc w:val="center"/>
        <w:rPr>
          <w:rFonts w:ascii="Times New Roman" w:hAnsi="Times New Roman" w:cs="Times New Roman"/>
          <w:kern w:val="0"/>
          <w:sz w:val="20"/>
          <w:szCs w:val="20"/>
        </w:rPr>
      </w:pPr>
      <w:bookmarkStart w:id="3" w:name="OLE_LINK6"/>
      <w:r>
        <w:rPr>
          <w:rFonts w:hint="eastAsia" w:ascii="Times New Roman" w:hAnsi="Times New Roman" w:cs="Times New Roman"/>
          <w:kern w:val="0"/>
          <w:sz w:val="20"/>
          <w:szCs w:val="20"/>
        </w:rPr>
        <w:t>Figure 1</w:t>
      </w:r>
      <w:bookmarkEnd w:id="3"/>
      <w:r>
        <w:rPr>
          <w:rFonts w:hint="eastAsia" w:ascii="Times New Roman" w:hAnsi="Times New Roman" w:cs="Times New Roman"/>
          <w:kern w:val="0"/>
          <w:sz w:val="20"/>
          <w:szCs w:val="20"/>
        </w:rPr>
        <w:t xml:space="preserve"> SMTC configuration for different SSB timing offsets</w:t>
      </w:r>
    </w:p>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In the case of scattered beam, it is obvious that , as RAN2’s offline report</w:t>
      </w:r>
      <w:r>
        <w:rPr>
          <w:rFonts w:ascii="Times New Roman" w:hAnsi="Times New Roman" w:cs="Times New Roman"/>
          <w:kern w:val="0"/>
          <w:sz w:val="20"/>
          <w:szCs w:val="20"/>
        </w:rPr>
        <w:t>’</w:t>
      </w:r>
      <w:r>
        <w:rPr>
          <w:rFonts w:hint="eastAsia" w:ascii="Times New Roman" w:hAnsi="Times New Roman" w:cs="Times New Roman"/>
          <w:kern w:val="0"/>
          <w:sz w:val="20"/>
          <w:szCs w:val="20"/>
        </w:rPr>
        <w:t>s proposal, UEs in the serving cell need to monitor SSB bursts may occur in the different timing offsets (more than 4) within 160ms</w:t>
      </w:r>
      <w:r>
        <w:rPr>
          <w:rFonts w:ascii="Times New Roman" w:hAnsi="Times New Roman" w:cs="Times New Roman"/>
          <w:kern w:val="0"/>
          <w:sz w:val="20"/>
          <w:szCs w:val="20"/>
          <w:highlight w:val="none"/>
        </w:rPr>
        <w:t>.</w:t>
      </w:r>
      <w:r>
        <w:rPr>
          <w:rFonts w:hint="eastAsia" w:ascii="Times New Roman" w:hAnsi="Times New Roman" w:cs="Times New Roman"/>
          <w:kern w:val="0"/>
          <w:sz w:val="20"/>
          <w:szCs w:val="20"/>
        </w:rPr>
        <w:t xml:space="preserve"> So current SMTC need to be enhanced for UE measurement under the condition of intra-frequency.</w:t>
      </w:r>
    </w:p>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 xml:space="preserve">Considering the conclusion of RAN2, </w:t>
      </w:r>
      <w:bookmarkStart w:id="4" w:name="OLE_LINK10"/>
      <w:r>
        <w:rPr>
          <w:rFonts w:hint="eastAsia" w:ascii="Times New Roman" w:hAnsi="Times New Roman" w:cs="Times New Roman"/>
          <w:kern w:val="0"/>
          <w:sz w:val="20"/>
          <w:szCs w:val="20"/>
        </w:rPr>
        <w:t>the number of SMTC/gaps a UE needs to consider at any time will not be increased</w:t>
      </w:r>
      <w:bookmarkEnd w:id="4"/>
      <w:r>
        <w:rPr>
          <w:rFonts w:hint="eastAsia" w:ascii="Times New Roman" w:hAnsi="Times New Roman" w:cs="Times New Roman"/>
          <w:kern w:val="0"/>
          <w:sz w:val="20"/>
          <w:szCs w:val="20"/>
        </w:rPr>
        <w:t xml:space="preserve"> further. According to the current spec, the SMTC configuration in NTN is limited to a maximum of 4 (considering both UE capabilities and network configurations for SMTC1 and SMTC4). This means that the network can provide some assistant information to allow the UE to monitor the accurate SSB burst as much as possible.</w:t>
      </w:r>
    </w:p>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 xml:space="preserve">Several potential solutions are presented as options 1-4 in the report for </w:t>
      </w:r>
      <w:r>
        <w:rPr>
          <w:rFonts w:ascii="Times New Roman" w:hAnsi="Times New Roman" w:cs="Times New Roman"/>
          <w:kern w:val="0"/>
          <w:sz w:val="20"/>
          <w:szCs w:val="20"/>
        </w:rPr>
        <w:t>information [</w:t>
      </w:r>
      <w:r>
        <w:rPr>
          <w:rFonts w:hint="eastAsia" w:ascii="Times New Roman" w:hAnsi="Times New Roman" w:cs="Times New Roman"/>
          <w:kern w:val="0"/>
          <w:sz w:val="20"/>
          <w:szCs w:val="20"/>
        </w:rPr>
        <w:t>2].</w:t>
      </w:r>
      <w:bookmarkStart w:id="18" w:name="_GoBack"/>
      <w:bookmarkEnd w:id="1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tabs>
                <w:tab w:val="center" w:pos="4819"/>
              </w:tabs>
              <w:spacing w:after="180"/>
              <w:jc w:val="both"/>
              <w:rPr>
                <w:rFonts w:ascii="Times New Roman" w:hAnsi="Times New Roman" w:cs="Times New Roman"/>
                <w:kern w:val="0"/>
                <w:sz w:val="20"/>
                <w:szCs w:val="20"/>
                <w:lang w:val="de-DE" w:eastAsia="en-US"/>
              </w:rPr>
            </w:pPr>
            <w:r>
              <w:rPr>
                <w:rFonts w:hint="eastAsia" w:ascii="Times New Roman" w:hAnsi="Times New Roman" w:cs="Times New Roman"/>
                <w:kern w:val="0"/>
                <w:sz w:val="20"/>
                <w:szCs w:val="20"/>
                <w:lang w:val="en-US" w:eastAsia="zh-CN"/>
              </w:rPr>
              <w:t>Possible solutions (for information only):</w:t>
            </w:r>
          </w:p>
          <w:p>
            <w:pPr>
              <w:tabs>
                <w:tab w:val="center" w:pos="4819"/>
              </w:tabs>
              <w:spacing w:after="180"/>
              <w:jc w:val="both"/>
              <w:rPr>
                <w:rFonts w:ascii="Times New Roman" w:hAnsi="Times New Roman" w:cs="Times New Roman"/>
                <w:kern w:val="0"/>
                <w:sz w:val="20"/>
                <w:szCs w:val="20"/>
                <w:lang w:val="de-DE" w:eastAsia="en-US"/>
              </w:rPr>
            </w:pPr>
            <w:r>
              <w:rPr>
                <w:rFonts w:hint="eastAsia" w:ascii="Times New Roman" w:hAnsi="Times New Roman" w:cs="Times New Roman"/>
                <w:kern w:val="0"/>
                <w:sz w:val="20"/>
                <w:szCs w:val="20"/>
                <w:lang w:val="en-US" w:eastAsia="zh-CN"/>
              </w:rPr>
              <w:t xml:space="preserve">1. </w:t>
            </w:r>
            <w:bookmarkStart w:id="5" w:name="OLE_LINK8"/>
            <w:r>
              <w:rPr>
                <w:rFonts w:hint="eastAsia" w:ascii="Times New Roman" w:hAnsi="Times New Roman" w:cs="Times New Roman"/>
                <w:kern w:val="0"/>
                <w:sz w:val="20"/>
                <w:szCs w:val="20"/>
                <w:lang w:val="en-US" w:eastAsia="zh-CN"/>
              </w:rPr>
              <w:t xml:space="preserve">Configure multiple SMTCs (more than 4) and </w:t>
            </w:r>
            <w:bookmarkStart w:id="6" w:name="OLE_LINK9"/>
            <w:r>
              <w:rPr>
                <w:rFonts w:hint="eastAsia" w:ascii="Times New Roman" w:hAnsi="Times New Roman" w:cs="Times New Roman"/>
                <w:kern w:val="0"/>
                <w:sz w:val="20"/>
                <w:szCs w:val="20"/>
                <w:lang w:val="en-US" w:eastAsia="zh-CN"/>
              </w:rPr>
              <w:t xml:space="preserve">SMTC </w:t>
            </w:r>
            <w:bookmarkEnd w:id="6"/>
            <w:r>
              <w:rPr>
                <w:rFonts w:hint="eastAsia" w:ascii="Times New Roman" w:hAnsi="Times New Roman" w:cs="Times New Roman"/>
                <w:kern w:val="0"/>
                <w:sz w:val="20"/>
                <w:szCs w:val="20"/>
                <w:lang w:val="en-US" w:eastAsia="zh-CN"/>
              </w:rPr>
              <w:t>selection</w:t>
            </w:r>
            <w:bookmarkEnd w:id="5"/>
            <w:r>
              <w:rPr>
                <w:rFonts w:hint="eastAsia" w:ascii="Times New Roman" w:hAnsi="Times New Roman" w:cs="Times New Roman"/>
                <w:kern w:val="0"/>
                <w:sz w:val="20"/>
                <w:szCs w:val="20"/>
                <w:lang w:val="en-US" w:eastAsia="zh-CN"/>
              </w:rPr>
              <w:t xml:space="preserve"> (e.g. location-based SMTC selection, UE autonomous selection)</w:t>
            </w:r>
          </w:p>
          <w:p>
            <w:pPr>
              <w:tabs>
                <w:tab w:val="center" w:pos="4819"/>
              </w:tabs>
              <w:spacing w:after="180"/>
              <w:jc w:val="both"/>
              <w:rPr>
                <w:rFonts w:ascii="Times New Roman" w:hAnsi="Times New Roman" w:cs="Times New Roman"/>
                <w:kern w:val="0"/>
                <w:sz w:val="20"/>
                <w:szCs w:val="20"/>
                <w:lang w:val="de-DE" w:eastAsia="en-US"/>
              </w:rPr>
            </w:pPr>
            <w:r>
              <w:rPr>
                <w:rFonts w:hint="eastAsia" w:ascii="Times New Roman" w:hAnsi="Times New Roman" w:cs="Times New Roman"/>
                <w:kern w:val="0"/>
                <w:sz w:val="20"/>
                <w:szCs w:val="20"/>
                <w:lang w:val="en-US" w:eastAsia="zh-CN"/>
              </w:rPr>
              <w:t>2. SSB-specific SMTC</w:t>
            </w:r>
          </w:p>
          <w:p>
            <w:pPr>
              <w:tabs>
                <w:tab w:val="center" w:pos="4819"/>
              </w:tabs>
              <w:spacing w:after="180"/>
              <w:jc w:val="both"/>
              <w:rPr>
                <w:rFonts w:ascii="Times New Roman" w:hAnsi="Times New Roman" w:cs="Times New Roman"/>
                <w:kern w:val="0"/>
                <w:sz w:val="20"/>
                <w:szCs w:val="20"/>
                <w:lang w:val="de-DE" w:eastAsia="en-US"/>
              </w:rPr>
            </w:pPr>
            <w:r>
              <w:rPr>
                <w:rFonts w:hint="eastAsia" w:ascii="Times New Roman" w:hAnsi="Times New Roman" w:cs="Times New Roman"/>
                <w:kern w:val="0"/>
                <w:sz w:val="20"/>
                <w:szCs w:val="20"/>
                <w:lang w:val="en-US" w:eastAsia="zh-CN"/>
              </w:rPr>
              <w:t>3. UE assistance information reporting</w:t>
            </w:r>
          </w:p>
          <w:p>
            <w:pPr>
              <w:tabs>
                <w:tab w:val="center" w:pos="4819"/>
              </w:tabs>
              <w:spacing w:after="180"/>
              <w:jc w:val="both"/>
              <w:rPr>
                <w:rFonts w:ascii="Times New Roman" w:hAnsi="Times New Roman" w:cs="Times New Roman"/>
                <w:kern w:val="0"/>
                <w:sz w:val="20"/>
                <w:szCs w:val="20"/>
                <w:lang w:val="de-DE" w:eastAsia="en-US"/>
              </w:rPr>
            </w:pPr>
            <w:r>
              <w:rPr>
                <w:rFonts w:hint="eastAsia" w:ascii="Times New Roman" w:hAnsi="Times New Roman" w:cs="Times New Roman"/>
                <w:kern w:val="0"/>
                <w:sz w:val="20"/>
                <w:szCs w:val="20"/>
                <w:lang w:val="en-US" w:eastAsia="zh-CN"/>
              </w:rPr>
              <w:t>4. Configure one SMTC with small periodicity, in each period (SMTC occasion) UE is indicated which PCI to use</w:t>
            </w:r>
          </w:p>
        </w:tc>
      </w:tr>
    </w:tbl>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 xml:space="preserve">As shown in figure 1, when cell level SMTCs configuration without SMTC selection, the number of SMTCs a UE needs to consider may be more than 4. We prefer utilizing SSB index associated SMTC configuration to reduce the number of SMTC, which including </w:t>
      </w:r>
      <w:bookmarkStart w:id="7" w:name="OLE_LINK12"/>
      <w:r>
        <w:rPr>
          <w:rFonts w:hint="eastAsia" w:ascii="Times New Roman" w:hAnsi="Times New Roman" w:cs="Times New Roman"/>
          <w:kern w:val="0"/>
          <w:sz w:val="20"/>
          <w:szCs w:val="20"/>
        </w:rPr>
        <w:t xml:space="preserve">option A: </w:t>
      </w:r>
      <w:bookmarkEnd w:id="7"/>
      <w:r>
        <w:rPr>
          <w:rFonts w:hint="eastAsia" w:ascii="Times New Roman" w:hAnsi="Times New Roman" w:cs="Times New Roman"/>
          <w:kern w:val="0"/>
          <w:sz w:val="20"/>
          <w:szCs w:val="20"/>
        </w:rPr>
        <w:t xml:space="preserve">SSB index associated SMTC configuration at the cell level and option B: SSB index associated SMTC configuration at the beam level (i.e. SSB-specific SMTC configuration). </w:t>
      </w:r>
    </w:p>
    <w:p>
      <w:pPr>
        <w:tabs>
          <w:tab w:val="center" w:pos="4819"/>
        </w:tabs>
        <w:spacing w:after="180"/>
        <w:jc w:val="both"/>
        <w:rPr>
          <w:rFonts w:hint="eastAsia" w:ascii="Times New Roman" w:hAnsi="Times New Roman" w:cs="Times New Roman"/>
          <w:kern w:val="0"/>
          <w:sz w:val="20"/>
          <w:szCs w:val="20"/>
        </w:rPr>
      </w:pPr>
      <w:bookmarkStart w:id="8" w:name="OLE_LINK13"/>
      <w:r>
        <w:rPr>
          <w:rFonts w:hint="eastAsia" w:ascii="Times New Roman" w:hAnsi="Times New Roman" w:cs="Times New Roman"/>
          <w:kern w:val="0"/>
          <w:sz w:val="20"/>
          <w:szCs w:val="20"/>
        </w:rPr>
        <w:t>Option A</w:t>
      </w:r>
      <w:bookmarkEnd w:id="8"/>
      <w:r>
        <w:rPr>
          <w:rFonts w:hint="eastAsia" w:ascii="Times New Roman" w:hAnsi="Times New Roman" w:cs="Times New Roman"/>
          <w:kern w:val="0"/>
          <w:sz w:val="20"/>
          <w:szCs w:val="20"/>
        </w:rPr>
        <w:t xml:space="preserve"> is SSB index associated SMTC configuration at the cell level. </w:t>
      </w:r>
      <w:bookmarkStart w:id="9" w:name="OLE_LINK7"/>
      <w:r>
        <w:rPr>
          <w:rFonts w:ascii="Times New Roman" w:hAnsi="Times New Roman" w:cs="Times New Roman"/>
          <w:kern w:val="0"/>
          <w:sz w:val="20"/>
          <w:szCs w:val="20"/>
        </w:rPr>
        <w:t>In addition to the S</w:t>
      </w:r>
      <w:r>
        <w:rPr>
          <w:rFonts w:hint="eastAsia" w:ascii="Times New Roman" w:hAnsi="Times New Roman" w:cs="Times New Roman"/>
          <w:kern w:val="0"/>
          <w:sz w:val="20"/>
          <w:szCs w:val="20"/>
        </w:rPr>
        <w:t>SB burst timing</w:t>
      </w:r>
      <w:r>
        <w:rPr>
          <w:rFonts w:ascii="Times New Roman" w:hAnsi="Times New Roman" w:cs="Times New Roman"/>
          <w:kern w:val="0"/>
          <w:sz w:val="20"/>
          <w:szCs w:val="20"/>
        </w:rPr>
        <w:t xml:space="preserve"> of the serving cell, the gNB also needs to configure the </w:t>
      </w:r>
      <w:bookmarkStart w:id="10" w:name="OLE_LINK1"/>
      <w:r>
        <w:rPr>
          <w:rFonts w:ascii="Times New Roman" w:hAnsi="Times New Roman" w:cs="Times New Roman"/>
          <w:kern w:val="0"/>
          <w:sz w:val="20"/>
          <w:szCs w:val="20"/>
        </w:rPr>
        <w:t>S</w:t>
      </w:r>
      <w:r>
        <w:rPr>
          <w:rFonts w:hint="eastAsia" w:ascii="Times New Roman" w:hAnsi="Times New Roman" w:cs="Times New Roman"/>
          <w:kern w:val="0"/>
          <w:sz w:val="20"/>
          <w:szCs w:val="20"/>
        </w:rPr>
        <w:t>SB burst timing</w:t>
      </w:r>
      <w:bookmarkEnd w:id="10"/>
      <w:r>
        <w:rPr>
          <w:rFonts w:ascii="Times New Roman" w:hAnsi="Times New Roman" w:cs="Times New Roman"/>
          <w:kern w:val="0"/>
          <w:sz w:val="20"/>
          <w:szCs w:val="20"/>
        </w:rPr>
        <w:t xml:space="preserve"> of the neighboring cells corresponding to the SSB index of serving cell.</w:t>
      </w:r>
      <w:r>
        <w:rPr>
          <w:rFonts w:hint="eastAsia" w:ascii="Times New Roman" w:hAnsi="Times New Roman" w:cs="Times New Roman"/>
          <w:kern w:val="0"/>
          <w:sz w:val="20"/>
          <w:szCs w:val="20"/>
        </w:rPr>
        <w:t xml:space="preserve"> </w:t>
      </w:r>
      <w:bookmarkEnd w:id="9"/>
      <w:r>
        <w:rPr>
          <w:rFonts w:hint="eastAsia" w:ascii="Times New Roman" w:hAnsi="Times New Roman" w:cs="Times New Roman"/>
          <w:kern w:val="0"/>
          <w:sz w:val="20"/>
          <w:szCs w:val="20"/>
        </w:rPr>
        <w:t>Then UE can autonomously select SMTCs for cell reselection based on the detected SSB index. The benefit of Option A is that it can minimize the introduction of additional assistant information, as the UE will detect the SSB and calculate the SSB index anyway, which is a procedure that will definitely take place to the UE.</w:t>
      </w:r>
    </w:p>
    <w:p>
      <w:pPr>
        <w:tabs>
          <w:tab w:val="center" w:pos="4819"/>
        </w:tabs>
        <w:spacing w:after="180"/>
        <w:jc w:val="both"/>
        <w:rPr>
          <w:rFonts w:ascii="Times New Roman" w:hAnsi="Times New Roman" w:cs="Times New Roman"/>
          <w:b/>
          <w:bCs/>
          <w:kern w:val="0"/>
          <w:sz w:val="20"/>
          <w:szCs w:val="20"/>
        </w:rPr>
      </w:pPr>
      <w:r>
        <w:rPr>
          <w:rFonts w:hint="eastAsia" w:ascii="Times New Roman" w:hAnsi="Times New Roman" w:cs="Times New Roman"/>
          <w:b/>
          <w:bCs/>
          <w:kern w:val="0"/>
          <w:sz w:val="20"/>
          <w:szCs w:val="20"/>
        </w:rPr>
        <w:t xml:space="preserve">Proposal 1: SSB index associated SMTC configuration at the cell level can be introduced for SMTC enhancement. </w:t>
      </w:r>
    </w:p>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 xml:space="preserve">Additionally, </w:t>
      </w:r>
      <w:bookmarkStart w:id="11" w:name="OLE_LINK14"/>
      <w:r>
        <w:rPr>
          <w:rFonts w:hint="eastAsia" w:ascii="Times New Roman" w:hAnsi="Times New Roman" w:cs="Times New Roman"/>
          <w:kern w:val="0"/>
          <w:sz w:val="20"/>
          <w:szCs w:val="20"/>
        </w:rPr>
        <w:t>Option B</w:t>
      </w:r>
      <w:bookmarkEnd w:id="11"/>
      <w:r>
        <w:rPr>
          <w:rFonts w:hint="eastAsia" w:ascii="Times New Roman" w:hAnsi="Times New Roman" w:cs="Times New Roman"/>
          <w:kern w:val="0"/>
          <w:sz w:val="20"/>
          <w:szCs w:val="20"/>
        </w:rPr>
        <w:t xml:space="preserve"> is SSB index associated SMTC configuration at the beam level (i.e., SSB-specific SMTC mechanism).</w:t>
      </w:r>
    </w:p>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 xml:space="preserve">Further analysis indicates that, broadcasting all the cell-level SSB associated SMTC configurations is actually a waste of </w:t>
      </w:r>
      <w:r>
        <w:rPr>
          <w:rFonts w:ascii="Times New Roman" w:hAnsi="Times New Roman" w:cs="Times New Roman"/>
          <w:kern w:val="0"/>
          <w:sz w:val="20"/>
          <w:szCs w:val="20"/>
        </w:rPr>
        <w:t>resource</w:t>
      </w:r>
      <w:r>
        <w:rPr>
          <w:rFonts w:hint="eastAsia" w:ascii="Times New Roman" w:hAnsi="Times New Roman" w:cs="Times New Roman"/>
          <w:kern w:val="0"/>
          <w:sz w:val="20"/>
          <w:szCs w:val="20"/>
        </w:rPr>
        <w:t>, especially under the condition of limited satellite air interface resources and link budgets. Fundamentally, a gNB onboard is capable of acquiring global information regarding the entire cell. In fact</w:t>
      </w:r>
      <w:r>
        <w:rPr>
          <w:rFonts w:ascii="Times New Roman" w:hAnsi="Times New Roman" w:cs="Times New Roman"/>
          <w:kern w:val="0"/>
          <w:sz w:val="20"/>
          <w:szCs w:val="20"/>
        </w:rPr>
        <w:t>, the network can roughly distinguish</w:t>
      </w:r>
      <w:r>
        <w:rPr>
          <w:rFonts w:hint="eastAsia" w:ascii="Times New Roman" w:hAnsi="Times New Roman" w:cs="Times New Roman"/>
          <w:kern w:val="0"/>
          <w:sz w:val="20"/>
          <w:szCs w:val="20"/>
        </w:rPr>
        <w:t xml:space="preserve"> coverage areas</w:t>
      </w:r>
      <w:r>
        <w:rPr>
          <w:rFonts w:ascii="Times New Roman" w:hAnsi="Times New Roman" w:cs="Times New Roman"/>
          <w:kern w:val="0"/>
          <w:sz w:val="20"/>
          <w:szCs w:val="20"/>
        </w:rPr>
        <w:t xml:space="preserve"> by SSB index</w:t>
      </w:r>
      <w:r>
        <w:rPr>
          <w:rFonts w:hint="eastAsia" w:ascii="Times New Roman" w:hAnsi="Times New Roman" w:cs="Times New Roman"/>
          <w:kern w:val="0"/>
          <w:sz w:val="20"/>
          <w:szCs w:val="20"/>
        </w:rPr>
        <w:t xml:space="preserve"> especially </w:t>
      </w:r>
      <w:r>
        <w:rPr>
          <w:rFonts w:ascii="Times New Roman" w:hAnsi="Times New Roman" w:cs="Times New Roman"/>
          <w:kern w:val="0"/>
          <w:sz w:val="20"/>
          <w:szCs w:val="20"/>
        </w:rPr>
        <w:t>in the case of DL</w:t>
      </w:r>
      <w:r>
        <w:rPr>
          <w:rFonts w:hint="eastAsia" w:ascii="Times New Roman" w:hAnsi="Times New Roman" w:cs="Times New Roman"/>
          <w:kern w:val="0"/>
          <w:sz w:val="20"/>
          <w:szCs w:val="20"/>
        </w:rPr>
        <w:t>-</w:t>
      </w:r>
      <w:r>
        <w:rPr>
          <w:rFonts w:ascii="Times New Roman" w:hAnsi="Times New Roman" w:cs="Times New Roman"/>
          <w:kern w:val="0"/>
          <w:sz w:val="20"/>
          <w:szCs w:val="20"/>
        </w:rPr>
        <w:t>CE cell</w:t>
      </w:r>
      <w:r>
        <w:rPr>
          <w:rFonts w:hint="eastAsia" w:ascii="Times New Roman" w:hAnsi="Times New Roman" w:cs="Times New Roman"/>
          <w:kern w:val="0"/>
          <w:sz w:val="20"/>
          <w:szCs w:val="20"/>
        </w:rPr>
        <w:t>s</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with</w:t>
      </w:r>
      <w:r>
        <w:rPr>
          <w:rFonts w:ascii="Times New Roman" w:hAnsi="Times New Roman" w:cs="Times New Roman"/>
          <w:kern w:val="0"/>
          <w:sz w:val="20"/>
          <w:szCs w:val="20"/>
        </w:rPr>
        <w:t xml:space="preserve"> beam hopping, even</w:t>
      </w:r>
      <w:r>
        <w:rPr>
          <w:rFonts w:hint="eastAsia" w:ascii="Times New Roman" w:hAnsi="Times New Roman" w:cs="Times New Roman"/>
          <w:kern w:val="0"/>
          <w:sz w:val="20"/>
          <w:szCs w:val="20"/>
        </w:rPr>
        <w:t xml:space="preserve"> in RRC_IDLE/INACTIVE mode</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 xml:space="preserve">Furthermore, because of varying areas corresponding to different SSB beams, the NW can indicate separate SMTC configurations associated with each specific SSB index of serving cell (e.g. SSB 1 </w:t>
      </w:r>
      <w:r>
        <w:rPr>
          <w:rFonts w:ascii="Times New Roman" w:hAnsi="Times New Roman" w:cs="Times New Roman"/>
          <w:kern w:val="0"/>
          <w:sz w:val="20"/>
          <w:szCs w:val="20"/>
        </w:rPr>
        <w:t>associat</w:t>
      </w:r>
      <w:r>
        <w:rPr>
          <w:rFonts w:hint="eastAsia" w:ascii="Times New Roman" w:hAnsi="Times New Roman" w:cs="Times New Roman"/>
          <w:kern w:val="0"/>
          <w:sz w:val="20"/>
          <w:szCs w:val="20"/>
        </w:rPr>
        <w:t xml:space="preserve">ed SMTC with ServingCell #0, NeighborCell #2, #6 and SSB 2 </w:t>
      </w:r>
      <w:r>
        <w:rPr>
          <w:rFonts w:ascii="Times New Roman" w:hAnsi="Times New Roman" w:cs="Times New Roman"/>
          <w:kern w:val="0"/>
          <w:sz w:val="20"/>
          <w:szCs w:val="20"/>
        </w:rPr>
        <w:t>associat</w:t>
      </w:r>
      <w:r>
        <w:rPr>
          <w:rFonts w:hint="eastAsia" w:ascii="Times New Roman" w:hAnsi="Times New Roman" w:cs="Times New Roman"/>
          <w:kern w:val="0"/>
          <w:sz w:val="20"/>
          <w:szCs w:val="20"/>
        </w:rPr>
        <w:t xml:space="preserve">ed SMTC for ServingCell #0, NeighborCell #4, #5, #6). Considering the case of satellite beam hopping, the NW can transmit different SMTC configurations on separate beams. Therefore, </w:t>
      </w:r>
      <w:bookmarkStart w:id="12" w:name="OLE_LINK15"/>
      <w:r>
        <w:rPr>
          <w:rFonts w:hint="eastAsia" w:ascii="Times New Roman" w:hAnsi="Times New Roman" w:cs="Times New Roman"/>
          <w:kern w:val="0"/>
          <w:sz w:val="20"/>
          <w:szCs w:val="20"/>
        </w:rPr>
        <w:t xml:space="preserve">in Option B, the network can further assist the UE to reduce the number of SMTC configurations, which is beneficial for the UE and NW as it can minimize the measurement process with less air interface resource. </w:t>
      </w:r>
      <w:bookmarkEnd w:id="12"/>
    </w:p>
    <w:p>
      <w:pPr>
        <w:tabs>
          <w:tab w:val="center" w:pos="4819"/>
        </w:tabs>
        <w:spacing w:after="180"/>
        <w:jc w:val="both"/>
        <w:rPr>
          <w:rFonts w:ascii="Times New Roman" w:hAnsi="Times New Roman" w:cs="Times New Roman"/>
          <w:b/>
          <w:bCs/>
          <w:kern w:val="0"/>
          <w:sz w:val="20"/>
          <w:szCs w:val="20"/>
        </w:rPr>
      </w:pPr>
      <w:r>
        <w:rPr>
          <w:rFonts w:hint="eastAsia" w:ascii="Times New Roman" w:hAnsi="Times New Roman" w:cs="Times New Roman"/>
          <w:b/>
          <w:bCs/>
          <w:kern w:val="0"/>
          <w:sz w:val="20"/>
          <w:szCs w:val="20"/>
        </w:rPr>
        <w:t xml:space="preserve">Proposal 2: SSB-specific SMTC configuration can be introduced to beneficial both UE and NW for measurement. </w:t>
      </w:r>
    </w:p>
    <w:p>
      <w:pPr>
        <w:tabs>
          <w:tab w:val="center" w:pos="4819"/>
        </w:tabs>
        <w:spacing w:after="180"/>
        <w:jc w:val="both"/>
        <w:rPr>
          <w:rFonts w:ascii="Times New Roman" w:hAnsi="Times New Roman" w:eastAsia="宋体" w:cs="Times New Roman"/>
          <w:sz w:val="20"/>
          <w:szCs w:val="21"/>
        </w:rPr>
      </w:pPr>
      <w:r>
        <w:rPr>
          <w:rFonts w:hint="eastAsia" w:ascii="Times New Roman" w:hAnsi="Times New Roman" w:eastAsia="宋体" w:cs="Times New Roman"/>
          <w:sz w:val="20"/>
          <w:szCs w:val="21"/>
        </w:rPr>
        <w:t>Either UE movement or satellite movement may</w:t>
      </w:r>
      <w:r>
        <w:rPr>
          <w:rFonts w:ascii="Times New Roman" w:hAnsi="Times New Roman" w:eastAsia="宋体" w:cs="Times New Roman"/>
          <w:sz w:val="20"/>
          <w:szCs w:val="21"/>
        </w:rPr>
        <w:t xml:space="preserve"> lead to</w:t>
      </w:r>
      <w:r>
        <w:rPr>
          <w:rFonts w:hint="eastAsia" w:ascii="Times New Roman" w:hAnsi="Times New Roman" w:eastAsia="宋体" w:cs="Times New Roman"/>
          <w:sz w:val="20"/>
          <w:szCs w:val="21"/>
        </w:rPr>
        <w:t xml:space="preserve"> </w:t>
      </w:r>
      <w:r>
        <w:rPr>
          <w:rFonts w:ascii="Times New Roman" w:hAnsi="Times New Roman" w:eastAsia="宋体" w:cs="Times New Roman"/>
          <w:sz w:val="20"/>
          <w:szCs w:val="21"/>
        </w:rPr>
        <w:t xml:space="preserve">changes in the SSB index </w:t>
      </w:r>
      <w:r>
        <w:rPr>
          <w:rFonts w:hint="eastAsia" w:ascii="Times New Roman" w:hAnsi="Times New Roman" w:eastAsia="宋体" w:cs="Times New Roman"/>
          <w:sz w:val="20"/>
          <w:szCs w:val="21"/>
        </w:rPr>
        <w:t xml:space="preserve">detected </w:t>
      </w:r>
      <w:r>
        <w:rPr>
          <w:rFonts w:ascii="Times New Roman" w:hAnsi="Times New Roman" w:eastAsia="宋体" w:cs="Times New Roman"/>
          <w:sz w:val="20"/>
          <w:szCs w:val="21"/>
        </w:rPr>
        <w:t>by the UE</w:t>
      </w:r>
      <w:r>
        <w:rPr>
          <w:rFonts w:hint="eastAsia" w:ascii="Times New Roman" w:hAnsi="Times New Roman" w:eastAsia="宋体" w:cs="Times New Roman"/>
          <w:sz w:val="20"/>
          <w:szCs w:val="21"/>
        </w:rPr>
        <w:t xml:space="preserve">. One possible </w:t>
      </w:r>
      <w:r>
        <w:rPr>
          <w:rFonts w:ascii="Times New Roman" w:hAnsi="Times New Roman" w:eastAsia="宋体" w:cs="Times New Roman"/>
          <w:sz w:val="20"/>
          <w:szCs w:val="21"/>
        </w:rPr>
        <w:t>scenario</w:t>
      </w:r>
      <w:r>
        <w:rPr>
          <w:rFonts w:hint="eastAsia" w:ascii="Times New Roman" w:hAnsi="Times New Roman" w:eastAsia="宋体" w:cs="Times New Roman"/>
          <w:sz w:val="20"/>
          <w:szCs w:val="21"/>
        </w:rPr>
        <w:t xml:space="preserve"> is that UE </w:t>
      </w:r>
      <w:r>
        <w:rPr>
          <w:rFonts w:ascii="Times New Roman" w:hAnsi="Times New Roman" w:eastAsia="宋体" w:cs="Times New Roman"/>
          <w:sz w:val="20"/>
          <w:szCs w:val="21"/>
        </w:rPr>
        <w:t xml:space="preserve">movement </w:t>
      </w:r>
      <w:r>
        <w:rPr>
          <w:rFonts w:hint="eastAsia" w:ascii="Times New Roman" w:hAnsi="Times New Roman" w:eastAsia="宋体" w:cs="Times New Roman"/>
          <w:sz w:val="20"/>
          <w:szCs w:val="21"/>
        </w:rPr>
        <w:t xml:space="preserve">when UE is at the edge of serving SSB beam (e.g. footprint), or satellite beam </w:t>
      </w:r>
      <w:r>
        <w:rPr>
          <w:rFonts w:ascii="Times New Roman" w:hAnsi="Times New Roman" w:eastAsia="宋体" w:cs="Times New Roman"/>
          <w:sz w:val="20"/>
          <w:szCs w:val="21"/>
        </w:rPr>
        <w:t xml:space="preserve">sweeping </w:t>
      </w:r>
      <w:r>
        <w:rPr>
          <w:rFonts w:hint="eastAsia" w:ascii="Times New Roman" w:hAnsi="Times New Roman" w:eastAsia="宋体" w:cs="Times New Roman"/>
          <w:sz w:val="20"/>
          <w:szCs w:val="21"/>
        </w:rPr>
        <w:t>over the cell (e.g. in EMC mode). Therefore, UE should re</w:t>
      </w:r>
      <w:r>
        <w:rPr>
          <w:rFonts w:ascii="Times New Roman" w:hAnsi="Times New Roman" w:eastAsia="宋体" w:cs="Times New Roman"/>
          <w:sz w:val="20"/>
          <w:szCs w:val="21"/>
        </w:rPr>
        <w:t>acquire</w:t>
      </w:r>
      <w:r>
        <w:rPr>
          <w:rFonts w:hint="eastAsia" w:ascii="Times New Roman" w:hAnsi="Times New Roman" w:eastAsia="宋体" w:cs="Times New Roman"/>
          <w:sz w:val="20"/>
          <w:szCs w:val="21"/>
        </w:rPr>
        <w:t xml:space="preserve"> the configuration to ensure the accuracy of UE measurement when UE detects the changes of SSB index.</w:t>
      </w:r>
    </w:p>
    <w:p>
      <w:pPr>
        <w:tabs>
          <w:tab w:val="center" w:pos="4819"/>
        </w:tabs>
        <w:spacing w:after="180"/>
        <w:jc w:val="both"/>
        <w:rPr>
          <w:rFonts w:ascii="Times New Roman" w:hAnsi="Times New Roman" w:cs="Times New Roman"/>
          <w:b/>
          <w:iCs/>
          <w:kern w:val="0"/>
          <w:sz w:val="20"/>
          <w:szCs w:val="20"/>
        </w:rPr>
      </w:pPr>
      <w:r>
        <w:rPr>
          <w:rFonts w:hint="eastAsia" w:ascii="Times New Roman" w:hAnsi="Times New Roman" w:cs="Times New Roman"/>
          <w:b/>
          <w:iCs/>
          <w:kern w:val="0"/>
          <w:sz w:val="20"/>
          <w:szCs w:val="20"/>
        </w:rPr>
        <w:t>Proposal 3</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iCs/>
          <w:kern w:val="0"/>
          <w:sz w:val="20"/>
          <w:szCs w:val="20"/>
        </w:rPr>
        <w:t xml:space="preserve">If </w:t>
      </w:r>
      <w:r>
        <w:rPr>
          <w:rFonts w:hint="eastAsia" w:ascii="Times New Roman" w:hAnsi="Times New Roman" w:cs="Times New Roman"/>
          <w:b/>
          <w:iCs/>
          <w:kern w:val="0"/>
          <w:sz w:val="20"/>
          <w:szCs w:val="20"/>
          <w:lang w:val="en-GB"/>
        </w:rPr>
        <w:t>SSB-specific SMTC</w:t>
      </w:r>
      <w:r>
        <w:rPr>
          <w:rFonts w:hint="eastAsia" w:ascii="Times New Roman" w:hAnsi="Times New Roman" w:cs="Times New Roman"/>
          <w:b/>
          <w:iCs/>
          <w:kern w:val="0"/>
          <w:sz w:val="20"/>
          <w:szCs w:val="20"/>
        </w:rPr>
        <w:t xml:space="preserve"> applied, UE should reacquire the SMTC configuration when SSB index changes. </w:t>
      </w:r>
    </w:p>
    <w:p>
      <w:pPr>
        <w:tabs>
          <w:tab w:val="center" w:pos="4819"/>
        </w:tabs>
        <w:spacing w:after="180"/>
        <w:jc w:val="both"/>
        <w:rPr>
          <w:rFonts w:ascii="Times New Roman" w:hAnsi="Times New Roman" w:cs="Times New Roman"/>
          <w:b/>
          <w:i/>
          <w:kern w:val="0"/>
          <w:sz w:val="20"/>
          <w:szCs w:val="20"/>
          <w:u w:val="single"/>
        </w:rPr>
      </w:pPr>
      <w:bookmarkStart w:id="13" w:name="OLE_LINK4"/>
      <w:r>
        <w:rPr>
          <w:rFonts w:hint="eastAsia" w:ascii="Times New Roman" w:hAnsi="Times New Roman" w:cs="Times New Roman"/>
          <w:b/>
          <w:i/>
          <w:kern w:val="0"/>
          <w:sz w:val="20"/>
          <w:szCs w:val="20"/>
          <w:u w:val="single"/>
          <w:lang w:val="en-GB"/>
        </w:rPr>
        <w:t>2</w:t>
      </w:r>
      <w:r>
        <w:rPr>
          <w:rFonts w:ascii="Times New Roman" w:hAnsi="Times New Roman" w:cs="Times New Roman"/>
          <w:b/>
          <w:i/>
          <w:kern w:val="0"/>
          <w:sz w:val="20"/>
          <w:szCs w:val="20"/>
          <w:u w:val="single"/>
          <w:lang w:val="en-GB"/>
        </w:rPr>
        <w:t>.</w:t>
      </w:r>
      <w:r>
        <w:rPr>
          <w:rFonts w:hint="eastAsia" w:ascii="Times New Roman" w:hAnsi="Times New Roman" w:cs="Times New Roman"/>
          <w:b/>
          <w:i/>
          <w:kern w:val="0"/>
          <w:sz w:val="20"/>
          <w:szCs w:val="20"/>
          <w:u w:val="single"/>
        </w:rPr>
        <w:t>2</w:t>
      </w:r>
      <w:r>
        <w:rPr>
          <w:rFonts w:ascii="Times New Roman" w:hAnsi="Times New Roman" w:cs="Times New Roman"/>
          <w:b/>
          <w:i/>
          <w:kern w:val="0"/>
          <w:sz w:val="20"/>
          <w:szCs w:val="20"/>
          <w:u w:val="single"/>
          <w:lang w:val="en-GB"/>
        </w:rPr>
        <w:t xml:space="preserve"> </w:t>
      </w:r>
      <w:r>
        <w:rPr>
          <w:rFonts w:hint="eastAsia" w:ascii="Times New Roman" w:hAnsi="Times New Roman" w:cs="Times New Roman"/>
          <w:b/>
          <w:i/>
          <w:kern w:val="0"/>
          <w:sz w:val="20"/>
          <w:szCs w:val="20"/>
          <w:u w:val="single"/>
        </w:rPr>
        <w:t>Gap impacts in RRC_CONNECTED</w:t>
      </w:r>
    </w:p>
    <w:p>
      <w:pPr>
        <w:tabs>
          <w:tab w:val="center" w:pos="4819"/>
        </w:tabs>
        <w:spacing w:after="180"/>
        <w:jc w:val="both"/>
        <w:rPr>
          <w:rFonts w:ascii="Times New Roman" w:hAnsi="Times New Roman" w:cs="Times New Roman"/>
          <w:kern w:val="0"/>
          <w:sz w:val="20"/>
          <w:szCs w:val="20"/>
          <w:lang w:eastAsia="ja-JP"/>
        </w:rPr>
      </w:pPr>
      <w:r>
        <w:rPr>
          <w:rFonts w:hint="eastAsia" w:ascii="Times New Roman" w:hAnsi="Times New Roman" w:cs="Times New Roman"/>
          <w:kern w:val="0"/>
          <w:sz w:val="20"/>
          <w:szCs w:val="20"/>
        </w:rPr>
        <w:t xml:space="preserve">As described above, several </w:t>
      </w:r>
      <w:r>
        <w:rPr>
          <w:rFonts w:ascii="Times New Roman" w:hAnsi="Times New Roman" w:cs="Times New Roman"/>
          <w:kern w:val="0"/>
          <w:sz w:val="20"/>
          <w:szCs w:val="20"/>
        </w:rPr>
        <w:t>compan</w:t>
      </w:r>
      <w:r>
        <w:rPr>
          <w:rFonts w:hint="eastAsia" w:ascii="Times New Roman" w:hAnsi="Times New Roman" w:cs="Times New Roman"/>
          <w:kern w:val="0"/>
          <w:sz w:val="20"/>
          <w:szCs w:val="20"/>
        </w:rPr>
        <w:t>ies</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proposed</w:t>
      </w:r>
      <w:r>
        <w:rPr>
          <w:rFonts w:ascii="Times New Roman" w:hAnsi="Times New Roman" w:cs="Times New Roman"/>
          <w:kern w:val="0"/>
          <w:sz w:val="20"/>
          <w:szCs w:val="20"/>
        </w:rPr>
        <w:t xml:space="preserve"> i</w:t>
      </w:r>
      <w:r>
        <w:rPr>
          <w:rFonts w:ascii="Times New Roman" w:hAnsi="Times New Roman" w:cs="Times New Roman"/>
          <w:kern w:val="0"/>
          <w:sz w:val="20"/>
          <w:szCs w:val="20"/>
          <w:lang w:eastAsia="ja-JP"/>
        </w:rPr>
        <w:t>ncreas</w:t>
      </w:r>
      <w:r>
        <w:rPr>
          <w:rFonts w:hint="eastAsia" w:ascii="Times New Roman" w:hAnsi="Times New Roman" w:cs="Times New Roman"/>
          <w:kern w:val="0"/>
          <w:sz w:val="20"/>
          <w:szCs w:val="20"/>
        </w:rPr>
        <w:t>ing</w:t>
      </w:r>
      <w:r>
        <w:rPr>
          <w:rFonts w:ascii="Times New Roman" w:hAnsi="Times New Roman" w:cs="Times New Roman"/>
          <w:kern w:val="0"/>
          <w:sz w:val="20"/>
          <w:szCs w:val="20"/>
          <w:lang w:eastAsia="ja-JP"/>
        </w:rPr>
        <w:t xml:space="preserve"> the number of configured SMTCs</w:t>
      </w:r>
      <w:r>
        <w:rPr>
          <w:rFonts w:hint="eastAsia" w:ascii="Times New Roman" w:hAnsi="Times New Roman" w:cs="Times New Roman"/>
          <w:kern w:val="0"/>
          <w:sz w:val="20"/>
          <w:szCs w:val="20"/>
        </w:rPr>
        <w:t xml:space="preserve"> to accommodate scenarios where different DL-CE cells adopt different SSB offsets</w:t>
      </w:r>
      <w:r>
        <w:rPr>
          <w:rFonts w:ascii="Times New Roman" w:hAnsi="Times New Roman" w:cs="Times New Roman"/>
          <w:kern w:val="0"/>
          <w:sz w:val="20"/>
          <w:szCs w:val="20"/>
        </w:rPr>
        <w:t>.</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lang w:eastAsia="ja-JP"/>
        </w:rPr>
        <w:t>Similarly,</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lang w:eastAsia="ja-JP"/>
        </w:rPr>
        <w:t xml:space="preserve">the configuration of </w:t>
      </w:r>
      <w:r>
        <w:rPr>
          <w:rFonts w:ascii="Times New Roman" w:hAnsi="Times New Roman" w:cs="Times New Roman"/>
          <w:kern w:val="0"/>
          <w:sz w:val="20"/>
          <w:szCs w:val="20"/>
        </w:rPr>
        <w:t>m</w:t>
      </w:r>
      <w:r>
        <w:rPr>
          <w:rFonts w:ascii="Times New Roman" w:hAnsi="Times New Roman" w:cs="Times New Roman"/>
          <w:kern w:val="0"/>
          <w:sz w:val="20"/>
          <w:szCs w:val="20"/>
          <w:lang w:eastAsia="ja-JP"/>
        </w:rPr>
        <w:t>easurement gap</w:t>
      </w:r>
      <w:r>
        <w:rPr>
          <w:rFonts w:hint="eastAsia" w:ascii="Times New Roman" w:hAnsi="Times New Roman" w:cs="Times New Roman"/>
          <w:kern w:val="0"/>
          <w:sz w:val="20"/>
          <w:szCs w:val="20"/>
        </w:rPr>
        <w:t>s</w:t>
      </w:r>
      <w:r>
        <w:rPr>
          <w:rFonts w:ascii="Times New Roman" w:hAnsi="Times New Roman" w:cs="Times New Roman"/>
          <w:kern w:val="0"/>
          <w:sz w:val="20"/>
          <w:szCs w:val="20"/>
          <w:lang w:eastAsia="ja-JP"/>
        </w:rPr>
        <w:t xml:space="preserve"> is also impacted </w:t>
      </w:r>
      <w:r>
        <w:rPr>
          <w:rFonts w:hint="eastAsia" w:ascii="Times New Roman" w:hAnsi="Times New Roman" w:cs="Times New Roman"/>
          <w:kern w:val="0"/>
          <w:sz w:val="20"/>
          <w:szCs w:val="20"/>
        </w:rPr>
        <w:t>as shown in Fig.2, taking two</w:t>
      </w:r>
      <w:r>
        <w:rPr>
          <w:rFonts w:ascii="Times New Roman" w:hAnsi="Times New Roman" w:cs="Times New Roman"/>
          <w:kern w:val="0"/>
          <w:sz w:val="20"/>
          <w:szCs w:val="20"/>
          <w:lang w:eastAsia="ja-JP"/>
        </w:rPr>
        <w:t>-frame offset</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lang w:eastAsia="ja-JP"/>
        </w:rPr>
        <w:t xml:space="preserve">between </w:t>
      </w:r>
      <w:r>
        <w:rPr>
          <w:rFonts w:hint="eastAsia" w:ascii="Times New Roman" w:hAnsi="Times New Roman" w:cs="Times New Roman"/>
          <w:kern w:val="0"/>
          <w:sz w:val="20"/>
          <w:szCs w:val="20"/>
        </w:rPr>
        <w:t xml:space="preserve">the </w:t>
      </w:r>
      <w:r>
        <w:rPr>
          <w:rFonts w:ascii="Times New Roman" w:hAnsi="Times New Roman" w:cs="Times New Roman"/>
          <w:kern w:val="0"/>
          <w:sz w:val="20"/>
          <w:szCs w:val="20"/>
          <w:lang w:eastAsia="ja-JP"/>
        </w:rPr>
        <w:t>SSBs of different cells</w:t>
      </w:r>
      <w:r>
        <w:rPr>
          <w:rFonts w:hint="eastAsia" w:ascii="Times New Roman" w:hAnsi="Times New Roman" w:cs="Times New Roman"/>
          <w:kern w:val="0"/>
          <w:sz w:val="20"/>
          <w:szCs w:val="20"/>
        </w:rPr>
        <w:t xml:space="preserve"> as an example</w:t>
      </w:r>
      <w:r>
        <w:rPr>
          <w:rFonts w:ascii="Times New Roman" w:hAnsi="Times New Roman" w:cs="Times New Roman"/>
          <w:kern w:val="0"/>
          <w:sz w:val="20"/>
          <w:szCs w:val="20"/>
          <w:lang w:eastAsia="ja-JP"/>
        </w:rPr>
        <w:t xml:space="preserve">, the </w:t>
      </w:r>
      <w:r>
        <w:rPr>
          <w:rFonts w:ascii="Times New Roman" w:hAnsi="Times New Roman" w:cs="Times New Roman"/>
          <w:i/>
          <w:iCs/>
          <w:kern w:val="0"/>
          <w:sz w:val="20"/>
          <w:szCs w:val="20"/>
        </w:rPr>
        <w:t>GapConfig</w:t>
      </w:r>
      <w:r>
        <w:rPr>
          <w:rFonts w:ascii="Times New Roman" w:hAnsi="Times New Roman" w:cs="Times New Roman"/>
          <w:kern w:val="0"/>
          <w:sz w:val="20"/>
          <w:szCs w:val="20"/>
        </w:rPr>
        <w:t xml:space="preserve"> IE </w:t>
      </w:r>
      <w:r>
        <w:rPr>
          <w:rFonts w:ascii="Times New Roman" w:hAnsi="Times New Roman" w:cs="Times New Roman"/>
          <w:kern w:val="0"/>
          <w:sz w:val="20"/>
          <w:szCs w:val="20"/>
          <w:lang w:eastAsia="ja-JP"/>
        </w:rPr>
        <w:t>(e.g., mgrp, mgl, gapOffset) cannot sufficiently</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lang w:eastAsia="ja-JP"/>
        </w:rPr>
        <w:t>characterize</w:t>
      </w:r>
      <w:r>
        <w:rPr>
          <w:rFonts w:hint="eastAsia" w:ascii="Times New Roman" w:hAnsi="Times New Roman" w:cs="Times New Roman"/>
          <w:kern w:val="0"/>
          <w:sz w:val="20"/>
          <w:szCs w:val="20"/>
        </w:rPr>
        <w:t xml:space="preserve"> the properties of</w:t>
      </w:r>
      <w:r>
        <w:rPr>
          <w:rFonts w:ascii="Times New Roman" w:hAnsi="Times New Roman" w:cs="Times New Roman"/>
          <w:kern w:val="0"/>
          <w:sz w:val="20"/>
          <w:szCs w:val="20"/>
          <w:lang w:eastAsia="ja-JP"/>
        </w:rPr>
        <w:t xml:space="preserve"> such </w:t>
      </w:r>
      <w:r>
        <w:rPr>
          <w:rFonts w:hint="eastAsia" w:ascii="Times New Roman" w:hAnsi="Times New Roman" w:cs="Times New Roman"/>
          <w:kern w:val="0"/>
          <w:sz w:val="20"/>
          <w:szCs w:val="20"/>
        </w:rPr>
        <w:t>DL-CE</w:t>
      </w:r>
      <w:r>
        <w:rPr>
          <w:rFonts w:ascii="Times New Roman" w:hAnsi="Times New Roman" w:cs="Times New Roman"/>
          <w:kern w:val="0"/>
          <w:sz w:val="20"/>
          <w:szCs w:val="20"/>
        </w:rPr>
        <w:t xml:space="preserve"> cells</w:t>
      </w:r>
      <w:r>
        <w:rPr>
          <w:rFonts w:ascii="Times New Roman" w:hAnsi="Times New Roman" w:cs="Times New Roman"/>
          <w:kern w:val="0"/>
          <w:sz w:val="20"/>
          <w:szCs w:val="20"/>
          <w:lang w:eastAsia="ja-JP"/>
        </w:rPr>
        <w:t>.</w:t>
      </w:r>
    </w:p>
    <w:p>
      <w:pPr>
        <w:tabs>
          <w:tab w:val="center" w:pos="4819"/>
        </w:tabs>
        <w:spacing w:after="180"/>
        <w:jc w:val="both"/>
        <w:rPr>
          <w:rFonts w:ascii="Times New Roman" w:hAnsi="Times New Roman" w:cs="Times New Roman"/>
          <w:kern w:val="0"/>
          <w:sz w:val="20"/>
          <w:szCs w:val="20"/>
          <w:lang w:eastAsia="ja-JP"/>
        </w:rPr>
      </w:pPr>
      <w:r>
        <w:rPr>
          <w:rFonts w:ascii="Times New Roman" w:hAnsi="Times New Roman" w:cs="Times New Roman"/>
          <w:kern w:val="0"/>
          <w:sz w:val="20"/>
          <w:szCs w:val="20"/>
          <w:lang w:eastAsia="ja-JP"/>
        </w:rPr>
        <w:t xml:space="preserve">In the current spec, a maximum of two GapConfigs can be configured per measurement object (requiring UE capability </w:t>
      </w:r>
      <w:r>
        <w:rPr>
          <w:rFonts w:ascii="Times New Roman" w:hAnsi="Times New Roman" w:cs="Times New Roman"/>
          <w:i/>
          <w:iCs/>
          <w:kern w:val="0"/>
          <w:sz w:val="20"/>
          <w:szCs w:val="20"/>
          <w:lang w:eastAsia="ja-JP"/>
        </w:rPr>
        <w:t>parallelMeasurementGap</w:t>
      </w:r>
      <w:r>
        <w:rPr>
          <w:rFonts w:ascii="Times New Roman" w:hAnsi="Times New Roman" w:cs="Times New Roman"/>
          <w:kern w:val="0"/>
          <w:sz w:val="20"/>
          <w:szCs w:val="20"/>
          <w:lang w:eastAsia="ja-JP"/>
        </w:rPr>
        <w:t xml:space="preserve">). However, this is insufficient </w:t>
      </w:r>
      <w:r>
        <w:rPr>
          <w:rFonts w:hint="eastAsia" w:ascii="Times New Roman" w:hAnsi="Times New Roman" w:cs="Times New Roman"/>
          <w:kern w:val="0"/>
          <w:sz w:val="20"/>
          <w:szCs w:val="20"/>
        </w:rPr>
        <w:t xml:space="preserve">fully </w:t>
      </w:r>
      <w:r>
        <w:rPr>
          <w:rFonts w:ascii="Times New Roman" w:hAnsi="Times New Roman" w:cs="Times New Roman"/>
          <w:kern w:val="0"/>
          <w:sz w:val="20"/>
          <w:szCs w:val="20"/>
          <w:lang w:eastAsia="ja-JP"/>
        </w:rPr>
        <w:t xml:space="preserve">to </w:t>
      </w:r>
      <w:r>
        <w:rPr>
          <w:rFonts w:hint="eastAsia" w:ascii="Times New Roman" w:hAnsi="Times New Roman" w:cs="Times New Roman"/>
          <w:kern w:val="0"/>
          <w:sz w:val="20"/>
          <w:szCs w:val="20"/>
        </w:rPr>
        <w:t>configure</w:t>
      </w:r>
      <w:r>
        <w:rPr>
          <w:rFonts w:ascii="Times New Roman" w:hAnsi="Times New Roman" w:cs="Times New Roman"/>
          <w:kern w:val="0"/>
          <w:sz w:val="20"/>
          <w:szCs w:val="20"/>
          <w:lang w:eastAsia="ja-JP"/>
        </w:rPr>
        <w:t xml:space="preserve"> the </w:t>
      </w:r>
      <w:r>
        <w:rPr>
          <w:rFonts w:hint="eastAsia" w:ascii="Times New Roman" w:hAnsi="Times New Roman" w:cs="Times New Roman"/>
          <w:kern w:val="0"/>
          <w:sz w:val="20"/>
          <w:szCs w:val="20"/>
        </w:rPr>
        <w:t>DL-CE</w:t>
      </w:r>
      <w:r>
        <w:rPr>
          <w:rFonts w:ascii="Times New Roman" w:hAnsi="Times New Roman" w:cs="Times New Roman"/>
          <w:kern w:val="0"/>
          <w:sz w:val="20"/>
          <w:szCs w:val="20"/>
          <w:lang w:eastAsia="ja-JP"/>
        </w:rPr>
        <w:t xml:space="preserve"> cells. As </w:t>
      </w:r>
      <w:r>
        <w:rPr>
          <w:rFonts w:hint="eastAsia" w:ascii="Times New Roman" w:hAnsi="Times New Roman" w:cs="Times New Roman"/>
          <w:kern w:val="0"/>
          <w:sz w:val="20"/>
          <w:szCs w:val="20"/>
        </w:rPr>
        <w:t>shown in Fig.2</w:t>
      </w:r>
      <w:r>
        <w:rPr>
          <w:rFonts w:ascii="Times New Roman" w:hAnsi="Times New Roman" w:cs="Times New Roman"/>
          <w:kern w:val="0"/>
          <w:sz w:val="20"/>
          <w:szCs w:val="20"/>
          <w:lang w:eastAsia="ja-JP"/>
        </w:rPr>
        <w:t xml:space="preserve">, since UE A is </w:t>
      </w:r>
      <w:r>
        <w:rPr>
          <w:rFonts w:hint="eastAsia" w:ascii="Times New Roman" w:hAnsi="Times New Roman" w:cs="Times New Roman"/>
          <w:kern w:val="0"/>
          <w:sz w:val="20"/>
          <w:szCs w:val="20"/>
        </w:rPr>
        <w:t>currently operating in the cell edge of overlapping coverage areas from multiple cells served by Target gNB-2</w:t>
      </w:r>
      <w:r>
        <w:rPr>
          <w:rFonts w:ascii="Times New Roman" w:hAnsi="Times New Roman" w:cs="Times New Roman"/>
          <w:kern w:val="0"/>
          <w:sz w:val="20"/>
          <w:szCs w:val="20"/>
          <w:lang w:eastAsia="ja-JP"/>
        </w:rPr>
        <w:t xml:space="preserve">, the </w:t>
      </w:r>
      <w:r>
        <w:rPr>
          <w:rFonts w:hint="eastAsia" w:ascii="Times New Roman" w:hAnsi="Times New Roman" w:cs="Times New Roman"/>
          <w:kern w:val="0"/>
          <w:sz w:val="20"/>
          <w:szCs w:val="20"/>
        </w:rPr>
        <w:t>S</w:t>
      </w:r>
      <w:r>
        <w:rPr>
          <w:rFonts w:ascii="Times New Roman" w:hAnsi="Times New Roman" w:cs="Times New Roman"/>
          <w:kern w:val="0"/>
          <w:sz w:val="20"/>
          <w:szCs w:val="20"/>
          <w:lang w:eastAsia="ja-JP"/>
        </w:rPr>
        <w:t>ource gNB</w:t>
      </w:r>
      <w:r>
        <w:rPr>
          <w:rFonts w:hint="eastAsia" w:ascii="Times New Roman" w:hAnsi="Times New Roman" w:cs="Times New Roman"/>
          <w:kern w:val="0"/>
          <w:sz w:val="20"/>
          <w:szCs w:val="20"/>
        </w:rPr>
        <w:t>-</w:t>
      </w:r>
      <w:r>
        <w:rPr>
          <w:rFonts w:ascii="Times New Roman" w:hAnsi="Times New Roman" w:cs="Times New Roman"/>
          <w:kern w:val="0"/>
          <w:sz w:val="20"/>
          <w:szCs w:val="20"/>
          <w:lang w:eastAsia="ja-JP"/>
        </w:rPr>
        <w:t xml:space="preserve">1 needs to configure </w:t>
      </w:r>
      <w:r>
        <w:rPr>
          <w:rFonts w:hint="eastAsia" w:ascii="Times New Roman" w:hAnsi="Times New Roman" w:cs="Times New Roman"/>
          <w:kern w:val="0"/>
          <w:sz w:val="20"/>
          <w:szCs w:val="20"/>
        </w:rPr>
        <w:t>m</w:t>
      </w:r>
      <w:r>
        <w:rPr>
          <w:rFonts w:ascii="Times New Roman" w:hAnsi="Times New Roman" w:cs="Times New Roman"/>
          <w:kern w:val="0"/>
          <w:sz w:val="20"/>
          <w:szCs w:val="20"/>
          <w:lang w:eastAsia="ja-JP"/>
        </w:rPr>
        <w:t>easurement gap</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lang w:eastAsia="ja-JP"/>
        </w:rPr>
        <w:t>for three neighboring cells (</w:t>
      </w:r>
      <w:r>
        <w:rPr>
          <w:rFonts w:hint="eastAsia" w:ascii="Times New Roman" w:hAnsi="Times New Roman" w:cs="Times New Roman"/>
          <w:kern w:val="0"/>
          <w:sz w:val="20"/>
          <w:szCs w:val="20"/>
        </w:rPr>
        <w:t>Cell</w:t>
      </w:r>
      <w:r>
        <w:rPr>
          <w:rFonts w:ascii="Times New Roman" w:hAnsi="Times New Roman" w:cs="Times New Roman"/>
          <w:kern w:val="0"/>
          <w:sz w:val="20"/>
          <w:szCs w:val="20"/>
          <w:lang w:eastAsia="ja-JP"/>
        </w:rPr>
        <w:t xml:space="preserve"> </w:t>
      </w:r>
      <w:r>
        <w:rPr>
          <w:rFonts w:hint="eastAsia" w:ascii="Times New Roman" w:hAnsi="Times New Roman" w:cs="Times New Roman"/>
          <w:kern w:val="0"/>
          <w:sz w:val="20"/>
          <w:szCs w:val="20"/>
        </w:rPr>
        <w:t>#</w:t>
      </w:r>
      <w:r>
        <w:rPr>
          <w:rFonts w:ascii="Times New Roman" w:hAnsi="Times New Roman" w:cs="Times New Roman"/>
          <w:kern w:val="0"/>
          <w:sz w:val="20"/>
          <w:szCs w:val="20"/>
          <w:lang w:eastAsia="ja-JP"/>
        </w:rPr>
        <w:t xml:space="preserve">2, </w:t>
      </w:r>
      <w:r>
        <w:rPr>
          <w:rFonts w:hint="eastAsia" w:ascii="Times New Roman" w:hAnsi="Times New Roman" w:cs="Times New Roman"/>
          <w:kern w:val="0"/>
          <w:sz w:val="20"/>
          <w:szCs w:val="20"/>
        </w:rPr>
        <w:t>#</w:t>
      </w:r>
      <w:r>
        <w:rPr>
          <w:rFonts w:ascii="Times New Roman" w:hAnsi="Times New Roman" w:cs="Times New Roman"/>
          <w:kern w:val="0"/>
          <w:sz w:val="20"/>
          <w:szCs w:val="20"/>
          <w:lang w:eastAsia="ja-JP"/>
        </w:rPr>
        <w:t xml:space="preserve">4, </w:t>
      </w:r>
      <w:r>
        <w:rPr>
          <w:rFonts w:hint="eastAsia" w:ascii="Times New Roman" w:hAnsi="Times New Roman" w:cs="Times New Roman"/>
          <w:kern w:val="0"/>
          <w:sz w:val="20"/>
          <w:szCs w:val="20"/>
        </w:rPr>
        <w:t>#</w:t>
      </w:r>
      <w:r>
        <w:rPr>
          <w:rFonts w:ascii="Times New Roman" w:hAnsi="Times New Roman" w:cs="Times New Roman"/>
          <w:kern w:val="0"/>
          <w:sz w:val="20"/>
          <w:szCs w:val="20"/>
          <w:lang w:eastAsia="ja-JP"/>
        </w:rPr>
        <w:t xml:space="preserve">5) to UE A. Nevertheless, ‌as the SSBs of these neighboring cells belong to three different SSB bursts‌, the MeasGapConfig cannot </w:t>
      </w:r>
      <w:r>
        <w:rPr>
          <w:rFonts w:hint="eastAsia" w:ascii="Times New Roman" w:hAnsi="Times New Roman" w:cs="Times New Roman"/>
          <w:kern w:val="0"/>
          <w:sz w:val="20"/>
          <w:szCs w:val="20"/>
        </w:rPr>
        <w:t xml:space="preserve">be </w:t>
      </w:r>
      <w:r>
        <w:rPr>
          <w:rFonts w:ascii="Times New Roman" w:hAnsi="Times New Roman" w:cs="Times New Roman"/>
          <w:kern w:val="0"/>
          <w:sz w:val="20"/>
          <w:szCs w:val="20"/>
          <w:lang w:eastAsia="ja-JP"/>
        </w:rPr>
        <w:t>accurately configure</w:t>
      </w:r>
      <w:r>
        <w:rPr>
          <w:rFonts w:hint="eastAsia" w:ascii="Times New Roman" w:hAnsi="Times New Roman" w:cs="Times New Roman"/>
          <w:kern w:val="0"/>
          <w:sz w:val="20"/>
          <w:szCs w:val="20"/>
        </w:rPr>
        <w:t>d in</w:t>
      </w:r>
      <w:r>
        <w:rPr>
          <w:rFonts w:ascii="Times New Roman" w:hAnsi="Times New Roman" w:cs="Times New Roman"/>
          <w:kern w:val="0"/>
          <w:sz w:val="20"/>
          <w:szCs w:val="20"/>
          <w:lang w:eastAsia="ja-JP"/>
        </w:rPr>
        <w:t xml:space="preserve"> this scenario.</w:t>
      </w:r>
    </w:p>
    <w:p>
      <w:pPr>
        <w:tabs>
          <w:tab w:val="center" w:pos="4819"/>
        </w:tabs>
        <w:spacing w:after="180"/>
        <w:jc w:val="both"/>
        <w:rPr>
          <w:rFonts w:ascii="Times New Roman" w:hAnsi="Times New Roman" w:cs="Times New Roman"/>
          <w:kern w:val="0"/>
          <w:sz w:val="20"/>
          <w:szCs w:val="20"/>
          <w:lang w:eastAsia="ja-JP"/>
        </w:rPr>
      </w:pPr>
      <w:r>
        <w:rPr>
          <w:rFonts w:ascii="Times New Roman" w:hAnsi="Times New Roman" w:cs="Times New Roman"/>
          <w:kern w:val="0"/>
          <w:sz w:val="20"/>
          <w:szCs w:val="20"/>
          <w:lang w:eastAsia="ja-JP"/>
        </w:rPr>
        <w:t>There may exist two particular configurations as outlined below.</w:t>
      </w:r>
    </w:p>
    <w:p>
      <w:pPr>
        <w:tabs>
          <w:tab w:val="center" w:pos="4819"/>
        </w:tabs>
        <w:spacing w:after="180"/>
        <w:jc w:val="both"/>
        <w:rPr>
          <w:rFonts w:ascii="Times New Roman" w:hAnsi="Times New Roman" w:cs="Times New Roman"/>
          <w:kern w:val="0"/>
          <w:sz w:val="20"/>
          <w:szCs w:val="20"/>
          <w:lang w:eastAsia="ja-JP"/>
        </w:rPr>
      </w:pPr>
      <w:r>
        <w:rPr>
          <w:rFonts w:ascii="Times New Roman" w:hAnsi="Times New Roman" w:cs="Times New Roman"/>
          <w:kern w:val="0"/>
          <w:sz w:val="20"/>
          <w:szCs w:val="20"/>
          <w:lang w:eastAsia="ja-JP"/>
        </w:rPr>
        <w:t>‌Configuration 1‌: If the MeasObjectNR(</w:t>
      </w:r>
      <w:r>
        <w:rPr>
          <w:rFonts w:hint="eastAsia" w:ascii="Times New Roman" w:hAnsi="Times New Roman" w:cs="Times New Roman"/>
          <w:kern w:val="0"/>
          <w:sz w:val="20"/>
          <w:szCs w:val="20"/>
        </w:rPr>
        <w:t xml:space="preserve">with </w:t>
      </w:r>
      <w:r>
        <w:rPr>
          <w:rFonts w:ascii="Times New Roman" w:hAnsi="Times New Roman" w:cs="Times New Roman"/>
          <w:kern w:val="0"/>
          <w:sz w:val="20"/>
          <w:szCs w:val="20"/>
          <w:lang w:eastAsia="ja-JP"/>
        </w:rPr>
        <w:t xml:space="preserve">ssbFrequency 2) of </w:t>
      </w:r>
      <w:r>
        <w:rPr>
          <w:rFonts w:hint="eastAsia" w:ascii="Times New Roman" w:hAnsi="Times New Roman" w:cs="Times New Roman"/>
          <w:kern w:val="0"/>
          <w:sz w:val="20"/>
          <w:szCs w:val="20"/>
        </w:rPr>
        <w:t>T</w:t>
      </w:r>
      <w:r>
        <w:rPr>
          <w:rFonts w:ascii="Times New Roman" w:hAnsi="Times New Roman" w:cs="Times New Roman"/>
          <w:kern w:val="0"/>
          <w:sz w:val="20"/>
          <w:szCs w:val="20"/>
          <w:lang w:eastAsia="ja-JP"/>
        </w:rPr>
        <w:t>arget gNB</w:t>
      </w:r>
      <w:r>
        <w:rPr>
          <w:rFonts w:hint="eastAsia" w:ascii="Times New Roman" w:hAnsi="Times New Roman" w:cs="Times New Roman"/>
          <w:kern w:val="0"/>
          <w:sz w:val="20"/>
          <w:szCs w:val="20"/>
        </w:rPr>
        <w:t>-</w:t>
      </w:r>
      <w:r>
        <w:rPr>
          <w:rFonts w:ascii="Times New Roman" w:hAnsi="Times New Roman" w:cs="Times New Roman"/>
          <w:kern w:val="0"/>
          <w:sz w:val="20"/>
          <w:szCs w:val="20"/>
          <w:lang w:eastAsia="ja-JP"/>
        </w:rPr>
        <w:t>2 is associated with two MeasGapIds linked to two GapConfigs (both with MGRP = 160 ms), one target neighboring cell would be missing</w:t>
      </w:r>
      <w:bookmarkStart w:id="14" w:name="OLE_LINK3"/>
      <w:r>
        <w:rPr>
          <w:rFonts w:hint="eastAsia" w:ascii="Times New Roman" w:hAnsi="Times New Roman" w:cs="Times New Roman"/>
          <w:kern w:val="0"/>
          <w:sz w:val="20"/>
          <w:szCs w:val="20"/>
        </w:rPr>
        <w:t xml:space="preserve"> (shown in red block)</w:t>
      </w:r>
      <w:bookmarkEnd w:id="14"/>
      <w:r>
        <w:rPr>
          <w:rFonts w:ascii="Times New Roman" w:hAnsi="Times New Roman" w:cs="Times New Roman"/>
          <w:kern w:val="0"/>
          <w:sz w:val="20"/>
          <w:szCs w:val="20"/>
          <w:lang w:eastAsia="ja-JP"/>
        </w:rPr>
        <w:t>. If the UE moves towards this missing cell, it will result in a call drop.</w:t>
      </w:r>
    </w:p>
    <w:p>
      <w:pPr>
        <w:tabs>
          <w:tab w:val="center" w:pos="4819"/>
        </w:tabs>
        <w:spacing w:after="180"/>
        <w:jc w:val="both"/>
        <w:rPr>
          <w:rFonts w:ascii="Times New Roman" w:hAnsi="Times New Roman" w:cs="Times New Roman"/>
          <w:kern w:val="0"/>
          <w:sz w:val="20"/>
          <w:szCs w:val="20"/>
          <w:lang w:eastAsia="ja-JP"/>
        </w:rPr>
      </w:pPr>
      <w:r>
        <w:rPr>
          <w:rFonts w:ascii="Times New Roman" w:hAnsi="Times New Roman" w:cs="Times New Roman"/>
          <w:kern w:val="0"/>
          <w:sz w:val="20"/>
          <w:szCs w:val="20"/>
          <w:lang w:eastAsia="ja-JP"/>
        </w:rPr>
        <w:t>‌Configuration 2‌: If the MeasObjectNR(</w:t>
      </w:r>
      <w:r>
        <w:rPr>
          <w:rFonts w:hint="eastAsia" w:ascii="Times New Roman" w:hAnsi="Times New Roman" w:cs="Times New Roman"/>
          <w:kern w:val="0"/>
          <w:sz w:val="20"/>
          <w:szCs w:val="20"/>
        </w:rPr>
        <w:t xml:space="preserve">with </w:t>
      </w:r>
      <w:r>
        <w:rPr>
          <w:rFonts w:ascii="Times New Roman" w:hAnsi="Times New Roman" w:cs="Times New Roman"/>
          <w:kern w:val="0"/>
          <w:sz w:val="20"/>
          <w:szCs w:val="20"/>
          <w:lang w:eastAsia="ja-JP"/>
        </w:rPr>
        <w:t xml:space="preserve">ssbFrequency 2) of </w:t>
      </w:r>
      <w:r>
        <w:rPr>
          <w:rFonts w:hint="eastAsia" w:ascii="Times New Roman" w:hAnsi="Times New Roman" w:cs="Times New Roman"/>
          <w:kern w:val="0"/>
          <w:sz w:val="20"/>
          <w:szCs w:val="20"/>
        </w:rPr>
        <w:t>T</w:t>
      </w:r>
      <w:r>
        <w:rPr>
          <w:rFonts w:ascii="Times New Roman" w:hAnsi="Times New Roman" w:cs="Times New Roman"/>
          <w:kern w:val="0"/>
          <w:sz w:val="20"/>
          <w:szCs w:val="20"/>
          <w:lang w:eastAsia="ja-JP"/>
        </w:rPr>
        <w:t>arget gNB</w:t>
      </w:r>
      <w:r>
        <w:rPr>
          <w:rFonts w:hint="eastAsia" w:ascii="Times New Roman" w:hAnsi="Times New Roman" w:cs="Times New Roman"/>
          <w:kern w:val="0"/>
          <w:sz w:val="20"/>
          <w:szCs w:val="20"/>
        </w:rPr>
        <w:t>-</w:t>
      </w:r>
      <w:r>
        <w:rPr>
          <w:rFonts w:ascii="Times New Roman" w:hAnsi="Times New Roman" w:cs="Times New Roman"/>
          <w:kern w:val="0"/>
          <w:sz w:val="20"/>
          <w:szCs w:val="20"/>
          <w:lang w:eastAsia="ja-JP"/>
        </w:rPr>
        <w:t>2 is associated with a single GapConfig (MGRP = 20 ms), five invalid gaps would be configured unnecessarily, causing unexpected interruption on serving cell</w:t>
      </w:r>
      <w:r>
        <w:rPr>
          <w:rFonts w:hint="eastAsia" w:ascii="Times New Roman" w:hAnsi="Times New Roman" w:cs="Times New Roman"/>
          <w:kern w:val="0"/>
          <w:sz w:val="20"/>
          <w:szCs w:val="20"/>
        </w:rPr>
        <w:t xml:space="preserve"> (shown in red block)</w:t>
      </w:r>
      <w:r>
        <w:rPr>
          <w:rFonts w:ascii="Times New Roman" w:hAnsi="Times New Roman" w:cs="Times New Roman"/>
          <w:kern w:val="0"/>
          <w:sz w:val="20"/>
          <w:szCs w:val="20"/>
          <w:lang w:eastAsia="ja-JP"/>
        </w:rPr>
        <w:t>.</w:t>
      </w:r>
    </w:p>
    <w:p>
      <w:pPr>
        <w:tabs>
          <w:tab w:val="center" w:pos="4819"/>
        </w:tabs>
        <w:spacing w:after="180"/>
        <w:jc w:val="center"/>
      </w:pPr>
      <w:r>
        <w:drawing>
          <wp:inline distT="0" distB="0" distL="114300" distR="114300">
            <wp:extent cx="4422140" cy="2607310"/>
            <wp:effectExtent l="0" t="0" r="3810" b="508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0"/>
                    <a:stretch>
                      <a:fillRect/>
                    </a:stretch>
                  </pic:blipFill>
                  <pic:spPr>
                    <a:xfrm>
                      <a:off x="0" y="0"/>
                      <a:ext cx="4422140" cy="2607310"/>
                    </a:xfrm>
                    <a:prstGeom prst="rect">
                      <a:avLst/>
                    </a:prstGeom>
                    <a:noFill/>
                    <a:ln>
                      <a:noFill/>
                    </a:ln>
                  </pic:spPr>
                </pic:pic>
              </a:graphicData>
            </a:graphic>
          </wp:inline>
        </w:drawing>
      </w:r>
    </w:p>
    <w:p>
      <w:pPr>
        <w:tabs>
          <w:tab w:val="center" w:pos="4819"/>
        </w:tabs>
        <w:spacing w:after="180"/>
      </w:pPr>
      <w:r>
        <w:drawing>
          <wp:inline distT="0" distB="0" distL="114300" distR="114300">
            <wp:extent cx="6120130" cy="2519045"/>
            <wp:effectExtent l="0" t="0" r="63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6120130" cy="2519045"/>
                    </a:xfrm>
                    <a:prstGeom prst="rect">
                      <a:avLst/>
                    </a:prstGeom>
                    <a:noFill/>
                    <a:ln>
                      <a:noFill/>
                    </a:ln>
                  </pic:spPr>
                </pic:pic>
              </a:graphicData>
            </a:graphic>
          </wp:inline>
        </w:drawing>
      </w:r>
    </w:p>
    <w:p>
      <w:pPr>
        <w:tabs>
          <w:tab w:val="center" w:pos="4819"/>
        </w:tabs>
        <w:spacing w:after="180"/>
        <w:jc w:val="center"/>
        <w:rPr>
          <w:rFonts w:ascii="Times New Roman" w:hAnsi="Times New Roman" w:cs="Times New Roman"/>
          <w:kern w:val="0"/>
          <w:sz w:val="20"/>
          <w:szCs w:val="20"/>
        </w:rPr>
      </w:pPr>
      <w:r>
        <w:rPr>
          <w:rFonts w:hint="eastAsia" w:ascii="Times New Roman" w:hAnsi="Times New Roman" w:cs="Times New Roman"/>
          <w:kern w:val="0"/>
          <w:sz w:val="20"/>
          <w:szCs w:val="20"/>
        </w:rPr>
        <w:t>Figure 2 Legacy MeasCapConfig for DL-CE cell</w:t>
      </w:r>
    </w:p>
    <w:p>
      <w:pPr>
        <w:tabs>
          <w:tab w:val="center" w:pos="4819"/>
        </w:tabs>
        <w:spacing w:after="180"/>
        <w:jc w:val="both"/>
        <w:rPr>
          <w:rFonts w:ascii="Times New Roman" w:hAnsi="Times New Roman" w:cs="Times New Roman"/>
          <w:b/>
          <w:iCs/>
          <w:kern w:val="0"/>
          <w:sz w:val="20"/>
          <w:szCs w:val="20"/>
        </w:rPr>
      </w:pPr>
      <w:bookmarkStart w:id="15" w:name="OLE_LINK19"/>
      <w:r>
        <w:rPr>
          <w:rFonts w:hint="eastAsia" w:ascii="Times New Roman" w:hAnsi="Times New Roman" w:cs="Times New Roman"/>
          <w:b/>
          <w:iCs/>
          <w:kern w:val="0"/>
          <w:sz w:val="20"/>
          <w:szCs w:val="20"/>
          <w:lang w:val="en-GB"/>
        </w:rPr>
        <w:t xml:space="preserve">Observation </w:t>
      </w:r>
      <w:r>
        <w:rPr>
          <w:rFonts w:hint="eastAsia" w:ascii="Times New Roman" w:hAnsi="Times New Roman" w:cs="Times New Roman"/>
          <w:b/>
          <w:iCs/>
          <w:kern w:val="0"/>
          <w:sz w:val="20"/>
          <w:szCs w:val="20"/>
        </w:rPr>
        <w:t>1: Due to the SSB periodicity extension and beam hopping, gap configuration may be insufficient for DL-CE cells.</w:t>
      </w:r>
    </w:p>
    <w:bookmarkEnd w:id="15"/>
    <w:p>
      <w:pPr>
        <w:tabs>
          <w:tab w:val="center" w:pos="4819"/>
        </w:tabs>
        <w:spacing w:after="180"/>
        <w:jc w:val="both"/>
        <w:rPr>
          <w:rFonts w:hint="eastAsia" w:ascii="Times New Roman" w:hAnsi="Times New Roman" w:cs="Times New Roman" w:eastAsiaTheme="minorEastAsia"/>
          <w:kern w:val="0"/>
          <w:sz w:val="20"/>
          <w:szCs w:val="20"/>
          <w:lang w:val="en-US" w:eastAsia="zh-CN"/>
        </w:rPr>
      </w:pPr>
      <w:r>
        <w:rPr>
          <w:rFonts w:ascii="Times New Roman" w:hAnsi="Times New Roman" w:cs="Times New Roman"/>
          <w:kern w:val="0"/>
          <w:sz w:val="20"/>
          <w:szCs w:val="20"/>
          <w:lang w:eastAsia="ja-JP"/>
        </w:rPr>
        <w:t>The</w:t>
      </w:r>
      <w:r>
        <w:rPr>
          <w:rFonts w:hint="eastAsia" w:ascii="Times New Roman" w:hAnsi="Times New Roman" w:cs="Times New Roman"/>
          <w:kern w:val="0"/>
          <w:sz w:val="20"/>
          <w:szCs w:val="20"/>
        </w:rPr>
        <w:t xml:space="preserve"> implementation of</w:t>
      </w:r>
      <w:r>
        <w:rPr>
          <w:rFonts w:ascii="Times New Roman" w:hAnsi="Times New Roman" w:cs="Times New Roman"/>
          <w:kern w:val="0"/>
          <w:sz w:val="20"/>
          <w:szCs w:val="20"/>
          <w:lang w:eastAsia="ja-JP"/>
        </w:rPr>
        <w:t xml:space="preserve"> </w:t>
      </w:r>
      <w:r>
        <w:rPr>
          <w:rFonts w:hint="eastAsia" w:ascii="Times New Roman" w:hAnsi="Times New Roman" w:cs="Times New Roman"/>
          <w:kern w:val="0"/>
          <w:sz w:val="20"/>
          <w:szCs w:val="20"/>
          <w:lang w:val="en-US" w:eastAsia="zh-CN"/>
        </w:rPr>
        <w:t>gap</w:t>
      </w:r>
      <w:r>
        <w:rPr>
          <w:rFonts w:ascii="Times New Roman" w:hAnsi="Times New Roman" w:cs="Times New Roman"/>
          <w:kern w:val="0"/>
          <w:sz w:val="20"/>
          <w:szCs w:val="20"/>
          <w:lang w:eastAsia="ja-JP"/>
        </w:rPr>
        <w:t xml:space="preserve"> not only </w:t>
      </w:r>
      <w:r>
        <w:rPr>
          <w:rFonts w:hint="eastAsia" w:ascii="Times New Roman" w:hAnsi="Times New Roman" w:cs="Times New Roman"/>
          <w:kern w:val="0"/>
          <w:sz w:val="20"/>
          <w:szCs w:val="20"/>
        </w:rPr>
        <w:t>dis</w:t>
      </w:r>
      <w:r>
        <w:rPr>
          <w:rFonts w:ascii="Times New Roman" w:hAnsi="Times New Roman" w:cs="Times New Roman"/>
          <w:kern w:val="0"/>
          <w:sz w:val="20"/>
          <w:szCs w:val="20"/>
          <w:lang w:eastAsia="ja-JP"/>
        </w:rPr>
        <w:t>rupt</w:t>
      </w:r>
      <w:r>
        <w:rPr>
          <w:rFonts w:hint="eastAsia" w:ascii="Times New Roman" w:hAnsi="Times New Roman" w:cs="Times New Roman"/>
          <w:kern w:val="0"/>
          <w:sz w:val="20"/>
          <w:szCs w:val="20"/>
        </w:rPr>
        <w:t>s</w:t>
      </w:r>
      <w:r>
        <w:rPr>
          <w:rFonts w:ascii="Times New Roman" w:hAnsi="Times New Roman" w:cs="Times New Roman"/>
          <w:kern w:val="0"/>
          <w:sz w:val="20"/>
          <w:szCs w:val="20"/>
          <w:lang w:eastAsia="ja-JP"/>
        </w:rPr>
        <w:t xml:space="preserve"> data transmission</w:t>
      </w:r>
      <w:r>
        <w:rPr>
          <w:rFonts w:hint="eastAsia" w:ascii="Times New Roman" w:hAnsi="Times New Roman" w:cs="Times New Roman"/>
          <w:kern w:val="0"/>
          <w:sz w:val="20"/>
          <w:szCs w:val="20"/>
        </w:rPr>
        <w:t xml:space="preserve"> continuity</w:t>
      </w:r>
      <w:r>
        <w:rPr>
          <w:rFonts w:ascii="Times New Roman" w:hAnsi="Times New Roman" w:cs="Times New Roman"/>
          <w:kern w:val="0"/>
          <w:sz w:val="20"/>
          <w:szCs w:val="20"/>
          <w:lang w:eastAsia="ja-JP"/>
        </w:rPr>
        <w:t xml:space="preserve"> in the serving cell but also in</w:t>
      </w:r>
      <w:r>
        <w:rPr>
          <w:rFonts w:hint="eastAsia" w:ascii="Times New Roman" w:hAnsi="Times New Roman" w:cs="Times New Roman"/>
          <w:kern w:val="0"/>
          <w:sz w:val="20"/>
          <w:szCs w:val="20"/>
        </w:rPr>
        <w:t>troduces</w:t>
      </w:r>
      <w:r>
        <w:rPr>
          <w:rFonts w:ascii="Times New Roman" w:hAnsi="Times New Roman" w:cs="Times New Roman"/>
          <w:kern w:val="0"/>
          <w:sz w:val="20"/>
          <w:szCs w:val="20"/>
          <w:lang w:eastAsia="ja-JP"/>
        </w:rPr>
        <w:t xml:space="preserve"> scheduling complexity at the gNB</w:t>
      </w:r>
      <w:r>
        <w:rPr>
          <w:rFonts w:ascii="Times New Roman" w:hAnsi="Times New Roman" w:cs="Times New Roman"/>
          <w:kern w:val="0"/>
          <w:sz w:val="20"/>
          <w:szCs w:val="20"/>
          <w:highlight w:val="none"/>
          <w:lang w:eastAsia="ja-JP"/>
        </w:rPr>
        <w:t>. Furthermore, SSB beams</w:t>
      </w:r>
      <w:r>
        <w:rPr>
          <w:rFonts w:hint="eastAsia" w:ascii="Times New Roman" w:hAnsi="Times New Roman" w:cs="Times New Roman"/>
          <w:kern w:val="0"/>
          <w:sz w:val="20"/>
          <w:szCs w:val="20"/>
          <w:highlight w:val="none"/>
          <w:lang w:val="en-US" w:eastAsia="zh-CN"/>
        </w:rPr>
        <w:t xml:space="preserve"> misalignment</w:t>
      </w:r>
      <w:r>
        <w:rPr>
          <w:rFonts w:hint="eastAsia" w:ascii="Times New Roman" w:hAnsi="Times New Roman" w:cs="Times New Roman"/>
          <w:kern w:val="0"/>
          <w:sz w:val="20"/>
          <w:szCs w:val="20"/>
          <w:highlight w:val="none"/>
        </w:rPr>
        <w:t xml:space="preserve"> with</w:t>
      </w:r>
      <w:r>
        <w:rPr>
          <w:rFonts w:ascii="Times New Roman" w:hAnsi="Times New Roman" w:cs="Times New Roman"/>
          <w:kern w:val="0"/>
          <w:sz w:val="20"/>
          <w:szCs w:val="20"/>
          <w:highlight w:val="none"/>
          <w:lang w:eastAsia="ja-JP"/>
        </w:rPr>
        <w:t xml:space="preserve"> the U</w:t>
      </w:r>
      <w:r>
        <w:rPr>
          <w:rFonts w:hint="eastAsia" w:ascii="Times New Roman" w:hAnsi="Times New Roman" w:cs="Times New Roman"/>
          <w:kern w:val="0"/>
          <w:sz w:val="20"/>
          <w:szCs w:val="20"/>
          <w:highlight w:val="none"/>
          <w:lang w:val="en-US" w:eastAsia="zh-CN"/>
        </w:rPr>
        <w:t>E o</w:t>
      </w:r>
      <w:r>
        <w:rPr>
          <w:rFonts w:hint="eastAsia" w:ascii="Times New Roman" w:hAnsi="Times New Roman" w:cs="Times New Roman"/>
          <w:kern w:val="0"/>
          <w:sz w:val="20"/>
          <w:szCs w:val="20"/>
          <w:highlight w:val="none"/>
          <w:lang w:eastAsia="zh-CN"/>
        </w:rPr>
        <w:t>ffers</w:t>
      </w:r>
      <w:r>
        <w:rPr>
          <w:rFonts w:ascii="Times New Roman" w:hAnsi="Times New Roman" w:cs="Times New Roman"/>
          <w:kern w:val="0"/>
          <w:sz w:val="20"/>
          <w:szCs w:val="20"/>
          <w:highlight w:val="none"/>
          <w:lang w:eastAsia="ja-JP"/>
        </w:rPr>
        <w:t xml:space="preserve"> no benefit</w:t>
      </w:r>
      <w:r>
        <w:rPr>
          <w:rFonts w:hint="eastAsia" w:ascii="Times New Roman" w:hAnsi="Times New Roman" w:cs="Times New Roman"/>
          <w:kern w:val="0"/>
          <w:sz w:val="20"/>
          <w:szCs w:val="20"/>
          <w:highlight w:val="none"/>
          <w:lang w:val="en-US" w:eastAsia="zh-CN"/>
        </w:rPr>
        <w:t>s</w:t>
      </w:r>
      <w:r>
        <w:rPr>
          <w:rFonts w:ascii="Times New Roman" w:hAnsi="Times New Roman" w:cs="Times New Roman"/>
          <w:kern w:val="0"/>
          <w:sz w:val="20"/>
          <w:szCs w:val="20"/>
          <w:highlight w:val="none"/>
          <w:lang w:eastAsia="ja-JP"/>
        </w:rPr>
        <w:t xml:space="preserve"> for mobility. </w:t>
      </w:r>
    </w:p>
    <w:p>
      <w:pPr>
        <w:tabs>
          <w:tab w:val="center" w:pos="4819"/>
        </w:tabs>
        <w:spacing w:after="180"/>
        <w:jc w:val="both"/>
        <w:rPr>
          <w:rFonts w:ascii="Times New Roman" w:hAnsi="Times New Roman" w:cs="Times New Roman"/>
          <w:kern w:val="0"/>
          <w:sz w:val="20"/>
          <w:szCs w:val="20"/>
          <w:lang w:eastAsia="ja-JP"/>
        </w:rPr>
      </w:pPr>
      <w:r>
        <w:rPr>
          <w:rFonts w:ascii="Times New Roman" w:hAnsi="Times New Roman" w:cs="Times New Roman"/>
          <w:kern w:val="0"/>
          <w:sz w:val="20"/>
          <w:szCs w:val="20"/>
          <w:lang w:eastAsia="ja-JP"/>
        </w:rPr>
        <w:t xml:space="preserve">For example, under optimal conditions, the gNB should configure dedicated measurement gaps individually for UE A, B, and C as illustrated in Fig. </w:t>
      </w:r>
      <w:r>
        <w:rPr>
          <w:rFonts w:hint="eastAsia" w:ascii="Times New Roman" w:hAnsi="Times New Roman" w:cs="Times New Roman"/>
          <w:kern w:val="0"/>
          <w:sz w:val="20"/>
          <w:szCs w:val="20"/>
        </w:rPr>
        <w:t xml:space="preserve">3. </w:t>
      </w:r>
      <w:bookmarkStart w:id="16" w:name="OLE_LINK17"/>
      <w:r>
        <w:rPr>
          <w:rFonts w:ascii="Times New Roman" w:hAnsi="Times New Roman" w:cs="Times New Roman"/>
          <w:kern w:val="0"/>
          <w:sz w:val="20"/>
          <w:szCs w:val="20"/>
          <w:lang w:eastAsia="ja-JP"/>
        </w:rPr>
        <w:t xml:space="preserve">However, </w:t>
      </w:r>
      <w:r>
        <w:rPr>
          <w:rFonts w:hint="eastAsia" w:ascii="Times New Roman" w:hAnsi="Times New Roman" w:cs="Times New Roman"/>
          <w:kern w:val="0"/>
          <w:sz w:val="20"/>
          <w:szCs w:val="20"/>
        </w:rPr>
        <w:t xml:space="preserve">improving </w:t>
      </w:r>
      <w:r>
        <w:rPr>
          <w:rFonts w:ascii="Times New Roman" w:hAnsi="Times New Roman" w:cs="Times New Roman"/>
          <w:kern w:val="0"/>
          <w:sz w:val="20"/>
          <w:szCs w:val="20"/>
          <w:lang w:eastAsia="ja-JP"/>
        </w:rPr>
        <w:t xml:space="preserve">measurement gap </w:t>
      </w:r>
      <w:r>
        <w:rPr>
          <w:rFonts w:hint="eastAsia" w:ascii="Times New Roman" w:hAnsi="Times New Roman" w:cs="Times New Roman"/>
          <w:kern w:val="0"/>
          <w:sz w:val="20"/>
          <w:szCs w:val="20"/>
        </w:rPr>
        <w:t xml:space="preserve">accuracy presents particular challenges </w:t>
      </w:r>
      <w:r>
        <w:rPr>
          <w:rFonts w:ascii="Times New Roman" w:hAnsi="Times New Roman" w:cs="Times New Roman"/>
          <w:kern w:val="0"/>
          <w:sz w:val="20"/>
          <w:szCs w:val="20"/>
          <w:lang w:eastAsia="ja-JP"/>
        </w:rPr>
        <w:t xml:space="preserve">for </w:t>
      </w:r>
      <w:r>
        <w:rPr>
          <w:rFonts w:hint="eastAsia" w:ascii="Times New Roman" w:hAnsi="Times New Roman" w:cs="Times New Roman"/>
          <w:kern w:val="0"/>
          <w:sz w:val="20"/>
          <w:szCs w:val="20"/>
        </w:rPr>
        <w:t>DL-CE</w:t>
      </w:r>
      <w:r>
        <w:rPr>
          <w:rFonts w:ascii="Times New Roman" w:hAnsi="Times New Roman" w:cs="Times New Roman"/>
          <w:kern w:val="0"/>
          <w:sz w:val="20"/>
          <w:szCs w:val="20"/>
          <w:lang w:eastAsia="ja-JP"/>
        </w:rPr>
        <w:t xml:space="preserve"> cells</w:t>
      </w:r>
      <w:r>
        <w:rPr>
          <w:rFonts w:hint="eastAsia" w:ascii="Times New Roman" w:hAnsi="Times New Roman" w:cs="Times New Roman"/>
          <w:kern w:val="0"/>
          <w:sz w:val="20"/>
          <w:szCs w:val="20"/>
        </w:rPr>
        <w:t xml:space="preserve"> due to</w:t>
      </w:r>
      <w:r>
        <w:rPr>
          <w:rFonts w:ascii="Times New Roman" w:hAnsi="Times New Roman" w:cs="Times New Roman"/>
          <w:kern w:val="0"/>
          <w:sz w:val="20"/>
          <w:szCs w:val="20"/>
          <w:lang w:eastAsia="ja-JP"/>
        </w:rPr>
        <w:t xml:space="preserve"> </w:t>
      </w:r>
      <w:r>
        <w:rPr>
          <w:rFonts w:hint="eastAsia" w:ascii="Times New Roman" w:hAnsi="Times New Roman" w:cs="Times New Roman"/>
          <w:kern w:val="0"/>
          <w:sz w:val="20"/>
          <w:szCs w:val="20"/>
        </w:rPr>
        <w:t>SSB timing offsets between</w:t>
      </w:r>
      <w:r>
        <w:rPr>
          <w:rFonts w:ascii="Times New Roman" w:hAnsi="Times New Roman" w:cs="Times New Roman"/>
          <w:kern w:val="0"/>
          <w:sz w:val="20"/>
          <w:szCs w:val="20"/>
          <w:lang w:eastAsia="ja-JP"/>
        </w:rPr>
        <w:t xml:space="preserve"> different cells and the gNB</w:t>
      </w:r>
      <w:r>
        <w:rPr>
          <w:rFonts w:ascii="Times New Roman" w:hAnsi="Times New Roman" w:cs="Times New Roman"/>
          <w:kern w:val="0"/>
          <w:sz w:val="20"/>
          <w:szCs w:val="20"/>
        </w:rPr>
        <w:t>’</w:t>
      </w:r>
      <w:r>
        <w:rPr>
          <w:rFonts w:hint="eastAsia" w:ascii="Times New Roman" w:hAnsi="Times New Roman" w:cs="Times New Roman"/>
          <w:kern w:val="0"/>
          <w:sz w:val="20"/>
          <w:szCs w:val="20"/>
        </w:rPr>
        <w:t>s limited awareness of UE-detectable</w:t>
      </w:r>
      <w:r>
        <w:rPr>
          <w:rFonts w:ascii="Times New Roman" w:hAnsi="Times New Roman" w:cs="Times New Roman"/>
          <w:kern w:val="0"/>
          <w:sz w:val="20"/>
          <w:szCs w:val="20"/>
          <w:lang w:eastAsia="ja-JP"/>
        </w:rPr>
        <w:t xml:space="preserve"> neighbor</w:t>
      </w:r>
      <w:r>
        <w:rPr>
          <w:rFonts w:hint="eastAsia" w:ascii="Times New Roman" w:hAnsi="Times New Roman" w:cs="Times New Roman"/>
          <w:kern w:val="0"/>
          <w:sz w:val="20"/>
          <w:szCs w:val="20"/>
        </w:rPr>
        <w:t>ing</w:t>
      </w:r>
      <w:r>
        <w:rPr>
          <w:rFonts w:ascii="Times New Roman" w:hAnsi="Times New Roman" w:cs="Times New Roman"/>
          <w:kern w:val="0"/>
          <w:sz w:val="20"/>
          <w:szCs w:val="20"/>
          <w:lang w:eastAsia="ja-JP"/>
        </w:rPr>
        <w:t xml:space="preserve"> cells</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lang w:eastAsia="ja-JP"/>
        </w:rPr>
        <w:t xml:space="preserve">at </w:t>
      </w:r>
      <w:r>
        <w:rPr>
          <w:rFonts w:hint="eastAsia" w:ascii="Times New Roman" w:hAnsi="Times New Roman" w:cs="Times New Roman"/>
          <w:kern w:val="0"/>
          <w:sz w:val="20"/>
          <w:szCs w:val="20"/>
        </w:rPr>
        <w:t>the UE</w:t>
      </w:r>
      <w:r>
        <w:rPr>
          <w:rFonts w:ascii="Times New Roman" w:hAnsi="Times New Roman" w:cs="Times New Roman"/>
          <w:kern w:val="0"/>
          <w:sz w:val="20"/>
          <w:szCs w:val="20"/>
        </w:rPr>
        <w:t>’</w:t>
      </w:r>
      <w:r>
        <w:rPr>
          <w:rFonts w:hint="eastAsia" w:ascii="Times New Roman" w:hAnsi="Times New Roman" w:cs="Times New Roman"/>
          <w:kern w:val="0"/>
          <w:sz w:val="20"/>
          <w:szCs w:val="20"/>
        </w:rPr>
        <w:t>s</w:t>
      </w:r>
      <w:r>
        <w:rPr>
          <w:rFonts w:ascii="Times New Roman" w:hAnsi="Times New Roman" w:cs="Times New Roman"/>
          <w:kern w:val="0"/>
          <w:sz w:val="20"/>
          <w:szCs w:val="20"/>
          <w:lang w:eastAsia="ja-JP"/>
        </w:rPr>
        <w:t xml:space="preserve"> current location.</w:t>
      </w:r>
      <w:r>
        <w:rPr>
          <w:rFonts w:hint="eastAsia" w:ascii="Times New Roman" w:hAnsi="Times New Roman" w:cs="Times New Roman"/>
          <w:kern w:val="0"/>
          <w:sz w:val="20"/>
          <w:szCs w:val="20"/>
        </w:rPr>
        <w:t xml:space="preserve"> </w:t>
      </w:r>
      <w:bookmarkEnd w:id="16"/>
      <w:r>
        <w:rPr>
          <w:rFonts w:ascii="Times New Roman" w:hAnsi="Times New Roman" w:cs="Times New Roman"/>
          <w:kern w:val="0"/>
          <w:sz w:val="20"/>
          <w:szCs w:val="20"/>
          <w:lang w:eastAsia="ja-JP"/>
        </w:rPr>
        <w:t xml:space="preserve">Under the precondition that the gNB cannot obtain the UE location, inaccurate configuration of gap may occur. On the contrary, frequent UE location updates </w:t>
      </w:r>
      <w:r>
        <w:rPr>
          <w:rFonts w:hint="eastAsia" w:ascii="Times New Roman" w:hAnsi="Times New Roman" w:cs="Times New Roman"/>
          <w:kern w:val="0"/>
          <w:sz w:val="20"/>
          <w:szCs w:val="20"/>
        </w:rPr>
        <w:t xml:space="preserve">and reporting </w:t>
      </w:r>
      <w:r>
        <w:rPr>
          <w:rFonts w:ascii="Times New Roman" w:hAnsi="Times New Roman" w:cs="Times New Roman"/>
          <w:kern w:val="0"/>
          <w:sz w:val="20"/>
          <w:szCs w:val="20"/>
          <w:lang w:eastAsia="ja-JP"/>
        </w:rPr>
        <w:t>would introduce significant signa</w:t>
      </w:r>
      <w:r>
        <w:rPr>
          <w:rFonts w:hint="eastAsia" w:ascii="Times New Roman" w:hAnsi="Times New Roman" w:cs="Times New Roman"/>
          <w:kern w:val="0"/>
          <w:sz w:val="20"/>
          <w:szCs w:val="20"/>
        </w:rPr>
        <w:t>l</w:t>
      </w:r>
      <w:r>
        <w:rPr>
          <w:rFonts w:ascii="Times New Roman" w:hAnsi="Times New Roman" w:cs="Times New Roman"/>
          <w:kern w:val="0"/>
          <w:sz w:val="20"/>
          <w:szCs w:val="20"/>
          <w:lang w:eastAsia="ja-JP"/>
        </w:rPr>
        <w:t>ling overhead and potential privacy risks.</w:t>
      </w:r>
    </w:p>
    <w:p>
      <w:pPr>
        <w:tabs>
          <w:tab w:val="center" w:pos="4819"/>
        </w:tabs>
        <w:spacing w:after="180"/>
        <w:rPr>
          <w:rFonts w:ascii="Times New Roman" w:hAnsi="Times New Roman" w:cs="Times New Roman"/>
          <w:b/>
          <w:i/>
          <w:kern w:val="0"/>
          <w:sz w:val="20"/>
          <w:szCs w:val="20"/>
          <w:u w:val="single"/>
        </w:rPr>
      </w:pPr>
      <w:r>
        <w:drawing>
          <wp:inline distT="0" distB="0" distL="114300" distR="114300">
            <wp:extent cx="6118860" cy="1945640"/>
            <wp:effectExtent l="0" t="0" r="1905"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6118860" cy="1945640"/>
                    </a:xfrm>
                    <a:prstGeom prst="rect">
                      <a:avLst/>
                    </a:prstGeom>
                    <a:noFill/>
                    <a:ln>
                      <a:noFill/>
                    </a:ln>
                  </pic:spPr>
                </pic:pic>
              </a:graphicData>
            </a:graphic>
          </wp:inline>
        </w:drawing>
      </w:r>
    </w:p>
    <w:p>
      <w:pPr>
        <w:tabs>
          <w:tab w:val="center" w:pos="4819"/>
        </w:tabs>
        <w:spacing w:after="180"/>
        <w:jc w:val="center"/>
        <w:rPr>
          <w:rFonts w:ascii="Times New Roman" w:hAnsi="Times New Roman" w:cs="Times New Roman"/>
          <w:kern w:val="0"/>
          <w:sz w:val="20"/>
          <w:szCs w:val="20"/>
        </w:rPr>
      </w:pPr>
      <w:r>
        <w:rPr>
          <w:rFonts w:hint="eastAsia" w:ascii="Times New Roman" w:hAnsi="Times New Roman" w:cs="Times New Roman"/>
          <w:kern w:val="0"/>
          <w:sz w:val="20"/>
          <w:szCs w:val="20"/>
        </w:rPr>
        <w:t xml:space="preserve">Figure 3 different UE with different </w:t>
      </w:r>
      <w:r>
        <w:rPr>
          <w:rFonts w:ascii="Times New Roman" w:hAnsi="Times New Roman" w:cs="Times New Roman"/>
          <w:kern w:val="0"/>
          <w:sz w:val="20"/>
          <w:szCs w:val="20"/>
          <w:lang w:eastAsia="ja-JP"/>
        </w:rPr>
        <w:t>detectable</w:t>
      </w:r>
      <w:r>
        <w:rPr>
          <w:rFonts w:hint="eastAsia" w:ascii="Times New Roman" w:hAnsi="Times New Roman" w:cs="Times New Roman"/>
          <w:kern w:val="0"/>
          <w:sz w:val="20"/>
          <w:szCs w:val="20"/>
        </w:rPr>
        <w:t xml:space="preserve"> SSB</w:t>
      </w:r>
    </w:p>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Therefore, a large proportion of configured gaps being ineffective should be avoided in practical applications. To effectively minimize and accurately configure the gap while avoiding invalid configurations, the gNB shall implement different configurations for UEs in different areas.</w:t>
      </w:r>
    </w:p>
    <w:p>
      <w:pPr>
        <w:spacing w:after="180"/>
        <w:jc w:val="both"/>
        <w:rPr>
          <w:rFonts w:hint="eastAsia" w:ascii="Times New Roman" w:hAnsi="Times New Roman" w:cs="Times New Roman"/>
          <w:b/>
          <w:bCs/>
          <w:kern w:val="0"/>
          <w:sz w:val="20"/>
          <w:szCs w:val="20"/>
        </w:rPr>
      </w:pPr>
      <w:r>
        <w:rPr>
          <w:rFonts w:hint="eastAsia" w:ascii="Times New Roman" w:hAnsi="Times New Roman" w:cs="Times New Roman"/>
          <w:b/>
          <w:bCs/>
          <w:kern w:val="0"/>
          <w:sz w:val="20"/>
          <w:szCs w:val="20"/>
        </w:rPr>
        <w:t>Proposal 4</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bCs/>
          <w:kern w:val="0"/>
          <w:sz w:val="20"/>
          <w:szCs w:val="20"/>
        </w:rPr>
        <w:t xml:space="preserve">RAN2 is recommended to discuss the method for accurate </w:t>
      </w:r>
      <w:bookmarkStart w:id="17" w:name="OLE_LINK18"/>
      <w:r>
        <w:rPr>
          <w:rFonts w:hint="eastAsia" w:ascii="Times New Roman" w:hAnsi="Times New Roman" w:cs="Times New Roman"/>
          <w:b/>
          <w:bCs/>
          <w:kern w:val="0"/>
          <w:sz w:val="20"/>
          <w:szCs w:val="20"/>
        </w:rPr>
        <w:t>gap configuration</w:t>
      </w:r>
      <w:bookmarkEnd w:id="17"/>
      <w:r>
        <w:rPr>
          <w:rFonts w:hint="eastAsia" w:ascii="Times New Roman" w:hAnsi="Times New Roman" w:cs="Times New Roman"/>
          <w:b/>
          <w:bCs/>
          <w:kern w:val="0"/>
          <w:sz w:val="20"/>
          <w:szCs w:val="20"/>
        </w:rPr>
        <w:t xml:space="preserve"> </w:t>
      </w:r>
      <w:r>
        <w:rPr>
          <w:rFonts w:hint="eastAsia" w:ascii="Times New Roman" w:hAnsi="Times New Roman" w:cs="Times New Roman"/>
          <w:b/>
          <w:bCs/>
          <w:kern w:val="0"/>
          <w:sz w:val="20"/>
          <w:szCs w:val="20"/>
          <w:lang w:val="en-US" w:eastAsia="zh-CN"/>
        </w:rPr>
        <w:t>for</w:t>
      </w:r>
      <w:r>
        <w:rPr>
          <w:rFonts w:hint="eastAsia" w:ascii="Times New Roman" w:hAnsi="Times New Roman" w:cs="Times New Roman"/>
          <w:b/>
          <w:bCs/>
          <w:kern w:val="0"/>
          <w:sz w:val="20"/>
          <w:szCs w:val="20"/>
        </w:rPr>
        <w:t xml:space="preserve"> the DL-CE cells. </w:t>
      </w:r>
    </w:p>
    <w:p>
      <w:pPr>
        <w:spacing w:after="180"/>
        <w:jc w:val="both"/>
        <w:rPr>
          <w:rFonts w:ascii="Times New Roman" w:hAnsi="Times New Roman" w:cs="Times New Roman"/>
          <w:b/>
          <w:bCs/>
          <w:kern w:val="0"/>
          <w:sz w:val="20"/>
          <w:szCs w:val="20"/>
        </w:rPr>
      </w:pPr>
      <w:r>
        <w:rPr>
          <w:rFonts w:hint="eastAsia" w:ascii="Times New Roman" w:hAnsi="Times New Roman" w:cs="Times New Roman"/>
          <w:b/>
          <w:bCs/>
          <w:kern w:val="0"/>
          <w:sz w:val="20"/>
          <w:szCs w:val="20"/>
        </w:rPr>
        <w:t>Proposal 5</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bCs/>
          <w:kern w:val="0"/>
          <w:sz w:val="20"/>
          <w:szCs w:val="20"/>
        </w:rPr>
        <w:t>The gNB shall implement different configurations for UEs in different areas to avoid invalid configurations.</w:t>
      </w:r>
    </w:p>
    <w:p>
      <w:pPr>
        <w:tabs>
          <w:tab w:val="center" w:pos="4819"/>
        </w:tabs>
        <w:spacing w:after="180"/>
        <w:jc w:val="both"/>
        <w:rPr>
          <w:rFonts w:ascii="Times New Roman" w:hAnsi="Times New Roman" w:cs="Times New Roman"/>
          <w:b/>
          <w:i/>
          <w:kern w:val="0"/>
          <w:sz w:val="20"/>
          <w:szCs w:val="20"/>
          <w:u w:val="single"/>
          <w:lang w:val="en-GB"/>
        </w:rPr>
      </w:pPr>
      <w:r>
        <w:rPr>
          <w:rFonts w:hint="eastAsia" w:ascii="Times New Roman" w:hAnsi="Times New Roman" w:cs="Times New Roman"/>
          <w:b/>
          <w:i/>
          <w:kern w:val="0"/>
          <w:sz w:val="20"/>
          <w:szCs w:val="20"/>
          <w:u w:val="single"/>
          <w:lang w:val="en-GB"/>
        </w:rPr>
        <w:t>2</w:t>
      </w:r>
      <w:r>
        <w:rPr>
          <w:rFonts w:ascii="Times New Roman" w:hAnsi="Times New Roman" w:cs="Times New Roman"/>
          <w:b/>
          <w:i/>
          <w:kern w:val="0"/>
          <w:sz w:val="20"/>
          <w:szCs w:val="20"/>
          <w:u w:val="single"/>
          <w:lang w:val="en-GB"/>
        </w:rPr>
        <w:t>.</w:t>
      </w:r>
      <w:r>
        <w:rPr>
          <w:rFonts w:hint="eastAsia" w:ascii="Times New Roman" w:hAnsi="Times New Roman" w:cs="Times New Roman"/>
          <w:b/>
          <w:i/>
          <w:kern w:val="0"/>
          <w:sz w:val="20"/>
          <w:szCs w:val="20"/>
          <w:u w:val="single"/>
        </w:rPr>
        <w:t>3</w:t>
      </w:r>
      <w:r>
        <w:rPr>
          <w:rFonts w:ascii="Times New Roman" w:hAnsi="Times New Roman" w:cs="Times New Roman"/>
          <w:b/>
          <w:i/>
          <w:kern w:val="0"/>
          <w:sz w:val="20"/>
          <w:szCs w:val="20"/>
          <w:u w:val="single"/>
          <w:lang w:val="en-GB"/>
        </w:rPr>
        <w:t xml:space="preserve"> Access restriction</w:t>
      </w:r>
    </w:p>
    <w:p>
      <w:pPr>
        <w:spacing w:after="120"/>
        <w:jc w:val="both"/>
        <w:rPr>
          <w:rFonts w:ascii="Times New Roman" w:hAnsi="Times New Roman" w:cs="Times New Roman"/>
          <w:kern w:val="0"/>
          <w:sz w:val="20"/>
          <w:szCs w:val="20"/>
        </w:rPr>
      </w:pPr>
      <w:r>
        <w:rPr>
          <w:rFonts w:hint="eastAsia" w:ascii="Times New Roman" w:hAnsi="Times New Roman" w:cs="Times New Roman"/>
          <w:kern w:val="0"/>
          <w:sz w:val="20"/>
          <w:szCs w:val="20"/>
        </w:rPr>
        <w:t xml:space="preserve">In RAN plenary #106 meeting, the maximum of the additional SSB periodicity default value (apart from the existing 20 ms value) in NTN is 160 ms. From RAN2 perspective, it has not been determined yet whether to continue using the existing barring bit mechanism. We hold the option that, taking into account other potential enhancements in DL-CE such as PDCCH repetition for SIB1 and SIB1/Msg4 PDSCH repetition at link level and SMTC enhancement at system level, it is necessary to implement selectively bar UE capable DL-CE. </w:t>
      </w:r>
    </w:p>
    <w:p>
      <w:pPr>
        <w:spacing w:after="120"/>
        <w:jc w:val="both"/>
        <w:rPr>
          <w:rFonts w:hint="eastAsia" w:ascii="Times New Roman" w:hAnsi="Times New Roman" w:cs="Times New Roman"/>
          <w:kern w:val="0"/>
          <w:sz w:val="20"/>
          <w:szCs w:val="20"/>
        </w:rPr>
      </w:pPr>
      <w:r>
        <w:rPr>
          <w:rFonts w:ascii="Times New Roman" w:hAnsi="Times New Roman" w:cs="Times New Roman"/>
          <w:kern w:val="0"/>
          <w:sz w:val="20"/>
          <w:szCs w:val="20"/>
        </w:rPr>
        <w:t>We think one bit with the value {barred, notBarred} is sufficient to achieve this. More specifically, for UEs supporting DL-CE, UE shall follow the legacy mechanism if the new barring bit is not present, UE shall consider the cell is not allowed for access if the new barring bit is set to "barred" and allowed for access if the new barring bit is set to "not Barred".</w:t>
      </w:r>
      <w:r>
        <w:rPr>
          <w:rFonts w:hint="eastAsia" w:ascii="Times New Roman" w:hAnsi="Times New Roman" w:cs="Times New Roman"/>
          <w:kern w:val="0"/>
          <w:sz w:val="20"/>
          <w:szCs w:val="20"/>
        </w:rPr>
        <w:t xml:space="preserve"> </w:t>
      </w:r>
    </w:p>
    <w:p>
      <w:pPr>
        <w:numPr>
          <w:ilvl w:val="-1"/>
          <w:numId w:val="0"/>
        </w:numPr>
        <w:spacing w:after="120"/>
        <w:jc w:val="both"/>
        <w:rPr>
          <w:rFonts w:ascii="Times New Roman" w:hAnsi="Times New Roman" w:eastAsia="Calibri" w:cs="Times New Roman"/>
          <w:b/>
          <w:bCs/>
          <w:kern w:val="0"/>
          <w:sz w:val="20"/>
          <w:szCs w:val="20"/>
        </w:rPr>
      </w:pPr>
      <w:r>
        <w:rPr>
          <w:rFonts w:hint="eastAsia" w:ascii="Times New Roman" w:hAnsi="Times New Roman" w:cs="Times New Roman"/>
          <w:b/>
          <w:bCs/>
          <w:kern w:val="0"/>
          <w:sz w:val="20"/>
          <w:szCs w:val="20"/>
        </w:rPr>
        <w:t>P</w:t>
      </w:r>
      <w:r>
        <w:rPr>
          <w:rFonts w:ascii="Times New Roman" w:hAnsi="Times New Roman" w:cs="Times New Roman"/>
          <w:b/>
          <w:bCs/>
          <w:kern w:val="0"/>
          <w:sz w:val="20"/>
          <w:szCs w:val="20"/>
        </w:rPr>
        <w:t xml:space="preserve">roposal </w:t>
      </w:r>
      <w:r>
        <w:rPr>
          <w:rFonts w:hint="eastAsia" w:ascii="Times New Roman" w:hAnsi="Times New Roman" w:cs="Times New Roman"/>
          <w:b/>
          <w:bCs/>
          <w:kern w:val="0"/>
          <w:sz w:val="20"/>
          <w:szCs w:val="20"/>
        </w:rPr>
        <w:t>6</w:t>
      </w:r>
      <w:r>
        <w:rPr>
          <w:rFonts w:ascii="Times New Roman" w:hAnsi="Times New Roman" w:cs="Times New Roman"/>
          <w:b/>
          <w:bCs/>
          <w:kern w:val="0"/>
          <w:sz w:val="20"/>
          <w:szCs w:val="20"/>
        </w:rPr>
        <w:t xml:space="preserve">: A new NTN bar bit with the value {barred, notBarred} should be introduced to achieve selectively bar UEs supporting DL-CE. </w:t>
      </w:r>
    </w:p>
    <w:p>
      <w:pPr>
        <w:tabs>
          <w:tab w:val="center" w:pos="4819"/>
        </w:tabs>
        <w:spacing w:after="180"/>
        <w:rPr>
          <w:rFonts w:ascii="Times New Roman" w:hAnsi="Times New Roman" w:cs="Times New Roman"/>
          <w:b/>
          <w:i/>
          <w:kern w:val="0"/>
          <w:sz w:val="20"/>
          <w:szCs w:val="20"/>
          <w:u w:val="single"/>
          <w:lang w:val="en-GB"/>
        </w:rPr>
      </w:pPr>
      <w:r>
        <w:rPr>
          <w:rFonts w:ascii="Times New Roman" w:hAnsi="Times New Roman" w:cs="Times New Roman"/>
          <w:b/>
          <w:i/>
          <w:kern w:val="0"/>
          <w:sz w:val="20"/>
          <w:szCs w:val="20"/>
          <w:u w:val="single"/>
          <w:lang w:val="en-GB"/>
        </w:rPr>
        <w:t>2.</w:t>
      </w:r>
      <w:r>
        <w:rPr>
          <w:rFonts w:hint="eastAsia" w:ascii="Times New Roman" w:hAnsi="Times New Roman" w:cs="Times New Roman"/>
          <w:b/>
          <w:i/>
          <w:kern w:val="0"/>
          <w:sz w:val="20"/>
          <w:szCs w:val="20"/>
          <w:u w:val="single"/>
        </w:rPr>
        <w:t>4</w:t>
      </w:r>
      <w:r>
        <w:rPr>
          <w:rFonts w:ascii="Times New Roman" w:hAnsi="Times New Roman" w:cs="Times New Roman"/>
          <w:b/>
          <w:i/>
          <w:kern w:val="0"/>
          <w:sz w:val="20"/>
          <w:szCs w:val="20"/>
          <w:u w:val="single"/>
          <w:lang w:val="en-GB"/>
        </w:rPr>
        <w:t xml:space="preserve"> Cell/beam level DTX</w:t>
      </w:r>
      <w:r>
        <w:rPr>
          <w:rFonts w:hint="eastAsia" w:ascii="Times New Roman" w:hAnsi="Times New Roman" w:cs="Times New Roman"/>
          <w:b/>
          <w:i/>
          <w:kern w:val="0"/>
          <w:sz w:val="20"/>
          <w:szCs w:val="20"/>
          <w:u w:val="single"/>
          <w:lang w:val="en-GB"/>
        </w:rPr>
        <w:t>/</w:t>
      </w:r>
      <w:r>
        <w:rPr>
          <w:rFonts w:ascii="Times New Roman" w:hAnsi="Times New Roman" w:cs="Times New Roman"/>
          <w:b/>
          <w:i/>
          <w:kern w:val="0"/>
          <w:sz w:val="20"/>
          <w:szCs w:val="20"/>
          <w:u w:val="single"/>
          <w:lang w:val="en-GB"/>
        </w:rPr>
        <w:t>DRX</w:t>
      </w:r>
    </w:p>
    <w:p>
      <w:pPr>
        <w:spacing w:after="120"/>
        <w:jc w:val="both"/>
        <w:rPr>
          <w:rFonts w:ascii="Times New Roman" w:hAnsi="Times New Roman" w:cs="Times New Roman"/>
          <w:kern w:val="0"/>
          <w:sz w:val="20"/>
          <w:szCs w:val="20"/>
        </w:rPr>
      </w:pPr>
      <w:r>
        <w:rPr>
          <w:rFonts w:ascii="Times New Roman" w:hAnsi="Times New Roman" w:cs="Times New Roman"/>
          <w:kern w:val="0"/>
          <w:sz w:val="20"/>
          <w:szCs w:val="20"/>
        </w:rPr>
        <w:t>Considering that satellite service area may consist of more than one hundred satellite beams (e</w:t>
      </w:r>
      <w:r>
        <w:rPr>
          <w:rFonts w:hint="eastAsia" w:ascii="Times New Roman" w:hAnsi="Times New Roman" w:cs="Times New Roman"/>
          <w:kern w:val="0"/>
          <w:sz w:val="20"/>
          <w:szCs w:val="20"/>
        </w:rPr>
        <w:t>.</w:t>
      </w:r>
      <w:r>
        <w:rPr>
          <w:rFonts w:ascii="Times New Roman" w:hAnsi="Times New Roman" w:cs="Times New Roman"/>
          <w:kern w:val="0"/>
          <w:sz w:val="20"/>
          <w:szCs w:val="20"/>
        </w:rPr>
        <w:t xml:space="preserve">g.106 satellite beams in </w:t>
      </w:r>
      <w:r>
        <w:rPr>
          <w:rFonts w:hint="eastAsia" w:ascii="Times New Roman" w:hAnsi="Times New Roman" w:cs="Times New Roman"/>
          <w:kern w:val="0"/>
          <w:sz w:val="20"/>
          <w:szCs w:val="20"/>
        </w:rPr>
        <w:t>S</w:t>
      </w:r>
      <w:r>
        <w:rPr>
          <w:rFonts w:ascii="Times New Roman" w:hAnsi="Times New Roman" w:cs="Times New Roman"/>
          <w:kern w:val="0"/>
          <w:sz w:val="20"/>
          <w:szCs w:val="20"/>
        </w:rPr>
        <w:t>et 1-1), only a portion of these beams can be activated at any given time due to limited power and the nominal EIRP density per satellite beam. In order to enhance downlink coverage, beam hopping is an efficient technology that allows dynamic and flexible power sharing between satellite beams. Since it is possible that some satellite beams within a cell are active while others remain inactive at the same time based on UE traffic requirements and network implementation, beam level DTX should also be supported to enable more flexible power sharing between satellite beams.</w:t>
      </w:r>
    </w:p>
    <w:p>
      <w:pPr>
        <w:spacing w:after="120"/>
        <w:jc w:val="both"/>
        <w:rPr>
          <w:rFonts w:ascii="Times New Roman" w:hAnsi="Times New Roman" w:cs="Times New Roman"/>
          <w:kern w:val="0"/>
          <w:sz w:val="20"/>
          <w:szCs w:val="20"/>
        </w:rPr>
      </w:pPr>
      <w:r>
        <w:rPr>
          <w:rFonts w:ascii="Times New Roman" w:hAnsi="Times New Roman" w:cs="Times New Roman"/>
          <w:kern w:val="0"/>
          <w:sz w:val="20"/>
          <w:szCs w:val="20"/>
        </w:rPr>
        <w:t>During the beam inactive period, there is no Tx signalling for this beam. In order to save UE's power, the UE should not do any operations in this state, which is applied to RRC_IDLE/RRC_INACTIVE UEs and RRC_CONNECTED UEs. More specifically, for UEs in RRC_IDLE/RRC_INACTIVE.UEs should not initial RRC connection establishment/RRC connection resume procedure, monitor paging, or perform serving cell measurements during the beam inactive period For UEs in RRC_CONNECTED,</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UEs should not perform serving cell measurements or detect radio link failure during such period.</w:t>
      </w:r>
    </w:p>
    <w:p>
      <w:pPr>
        <w:spacing w:after="180"/>
        <w:jc w:val="both"/>
        <w:rPr>
          <w:rFonts w:ascii="Times New Roman" w:hAnsi="Times New Roman" w:cs="Times New Roman"/>
          <w:b/>
          <w:bCs/>
          <w:kern w:val="0"/>
          <w:sz w:val="20"/>
          <w:szCs w:val="20"/>
        </w:rPr>
      </w:pPr>
      <w:r>
        <w:rPr>
          <w:rFonts w:ascii="Times New Roman" w:hAnsi="Times New Roman" w:cs="Times New Roman"/>
          <w:b/>
          <w:bCs/>
          <w:kern w:val="0"/>
          <w:sz w:val="20"/>
          <w:szCs w:val="20"/>
        </w:rPr>
        <w:t xml:space="preserve">Proposal </w:t>
      </w:r>
      <w:r>
        <w:rPr>
          <w:rFonts w:hint="eastAsia" w:ascii="Times New Roman" w:hAnsi="Times New Roman" w:cs="Times New Roman"/>
          <w:b/>
          <w:bCs/>
          <w:kern w:val="0"/>
          <w:sz w:val="20"/>
          <w:szCs w:val="20"/>
        </w:rPr>
        <w:t>7</w:t>
      </w:r>
      <w:r>
        <w:rPr>
          <w:rFonts w:ascii="Times New Roman" w:hAnsi="Times New Roman" w:cs="Times New Roman"/>
          <w:b/>
          <w:bCs/>
          <w:kern w:val="0"/>
          <w:sz w:val="20"/>
          <w:szCs w:val="20"/>
        </w:rPr>
        <w:t>: RAN2</w:t>
      </w:r>
      <w:r>
        <w:rPr>
          <w:rFonts w:hint="eastAsia" w:ascii="Times New Roman" w:hAnsi="Times New Roman" w:cs="Times New Roman"/>
          <w:b/>
          <w:bCs/>
          <w:kern w:val="0"/>
          <w:sz w:val="20"/>
          <w:szCs w:val="20"/>
        </w:rPr>
        <w:t xml:space="preserve"> may discuss on</w:t>
      </w:r>
      <w:r>
        <w:rPr>
          <w:rFonts w:ascii="Times New Roman" w:hAnsi="Times New Roman" w:cs="Times New Roman"/>
          <w:b/>
          <w:bCs/>
          <w:kern w:val="0"/>
          <w:sz w:val="20"/>
          <w:szCs w:val="20"/>
        </w:rPr>
        <w:t xml:space="preserve"> support</w:t>
      </w:r>
      <w:r>
        <w:rPr>
          <w:rFonts w:hint="eastAsia" w:ascii="Times New Roman" w:hAnsi="Times New Roman" w:cs="Times New Roman"/>
          <w:b/>
          <w:bCs/>
          <w:kern w:val="0"/>
          <w:sz w:val="20"/>
          <w:szCs w:val="20"/>
        </w:rPr>
        <w:t>ing</w:t>
      </w:r>
      <w:r>
        <w:rPr>
          <w:rFonts w:ascii="Times New Roman" w:hAnsi="Times New Roman" w:cs="Times New Roman"/>
          <w:b/>
          <w:bCs/>
          <w:kern w:val="0"/>
          <w:sz w:val="20"/>
          <w:szCs w:val="20"/>
        </w:rPr>
        <w:t xml:space="preserve"> beam level DTX and</w:t>
      </w:r>
      <w:r>
        <w:rPr>
          <w:rFonts w:hint="eastAsia" w:ascii="Times New Roman" w:hAnsi="Times New Roman" w:cs="Times New Roman"/>
          <w:b/>
          <w:bCs/>
          <w:kern w:val="0"/>
          <w:sz w:val="20"/>
          <w:szCs w:val="20"/>
        </w:rPr>
        <w:t xml:space="preserve"> </w:t>
      </w:r>
      <w:r>
        <w:rPr>
          <w:rFonts w:ascii="Times New Roman" w:hAnsi="Times New Roman" w:cs="Times New Roman"/>
          <w:b/>
          <w:bCs/>
          <w:kern w:val="0"/>
          <w:sz w:val="20"/>
          <w:szCs w:val="20"/>
        </w:rPr>
        <w:t>the UE behaviors in different period.</w:t>
      </w:r>
    </w:p>
    <w:bookmarkEnd w:id="13"/>
    <w:p>
      <w:pPr>
        <w:pStyle w:val="2"/>
        <w:spacing w:before="180"/>
        <w:ind w:left="850" w:hanging="849" w:hangingChars="236"/>
        <w:jc w:val="both"/>
      </w:pPr>
      <w:r>
        <w:t>Conclusion</w:t>
      </w:r>
      <w:r>
        <w:rPr>
          <w:rFonts w:hint="eastAsia"/>
          <w:lang w:val="en-US" w:eastAsia="zh-CN"/>
        </w:rPr>
        <w:t>s</w:t>
      </w:r>
    </w:p>
    <w:p>
      <w:pPr>
        <w:tabs>
          <w:tab w:val="center" w:pos="4819"/>
        </w:tabs>
        <w:spacing w:after="180"/>
        <w:jc w:val="both"/>
        <w:rPr>
          <w:rFonts w:ascii="Times New Roman" w:hAnsi="Times New Roman" w:cs="Times New Roman"/>
          <w:bCs/>
          <w:iCs/>
          <w:kern w:val="0"/>
          <w:sz w:val="20"/>
          <w:szCs w:val="20"/>
        </w:rPr>
      </w:pPr>
      <w:r>
        <w:rPr>
          <w:rFonts w:ascii="Times New Roman" w:hAnsi="Times New Roman" w:cs="Times New Roman"/>
          <w:bCs/>
          <w:iCs/>
          <w:kern w:val="0"/>
          <w:sz w:val="20"/>
          <w:szCs w:val="20"/>
        </w:rPr>
        <w:t>Based on above analyses,</w:t>
      </w:r>
      <w:r>
        <w:rPr>
          <w:rFonts w:hint="eastAsia" w:ascii="Times New Roman" w:hAnsi="Times New Roman" w:cs="Times New Roman"/>
          <w:bCs/>
          <w:iCs/>
          <w:kern w:val="0"/>
          <w:sz w:val="20"/>
          <w:szCs w:val="20"/>
        </w:rPr>
        <w:t>observations and</w:t>
      </w:r>
      <w:r>
        <w:rPr>
          <w:rFonts w:ascii="Times New Roman" w:hAnsi="Times New Roman" w:cs="Times New Roman"/>
          <w:bCs/>
          <w:iCs/>
          <w:kern w:val="0"/>
          <w:sz w:val="20"/>
          <w:szCs w:val="20"/>
        </w:rPr>
        <w:t xml:space="preserve"> proposals are summarized as follows.</w:t>
      </w:r>
    </w:p>
    <w:p>
      <w:pPr>
        <w:spacing w:after="180"/>
        <w:jc w:val="both"/>
        <w:rPr>
          <w:rFonts w:ascii="Times New Roman" w:hAnsi="Times New Roman" w:cs="Times New Roman"/>
          <w:b/>
          <w:bCs/>
          <w:kern w:val="0"/>
          <w:sz w:val="20"/>
          <w:szCs w:val="20"/>
        </w:rPr>
      </w:pPr>
      <w:r>
        <w:rPr>
          <w:rFonts w:hint="eastAsia" w:ascii="Times New Roman" w:hAnsi="Times New Roman" w:cs="Times New Roman"/>
          <w:b/>
          <w:bCs/>
          <w:kern w:val="0"/>
          <w:sz w:val="20"/>
          <w:szCs w:val="20"/>
        </w:rPr>
        <w:t xml:space="preserve">Proposal 1: SSB index associated SMTC configuration at the cell level can be introduced for SMTC enhancement. </w:t>
      </w:r>
    </w:p>
    <w:p>
      <w:pPr>
        <w:tabs>
          <w:tab w:val="center" w:pos="4819"/>
        </w:tabs>
        <w:spacing w:after="180"/>
        <w:jc w:val="both"/>
        <w:rPr>
          <w:rFonts w:ascii="Times New Roman" w:hAnsi="Times New Roman" w:cs="Times New Roman"/>
          <w:b/>
          <w:bCs/>
          <w:kern w:val="0"/>
          <w:sz w:val="20"/>
          <w:szCs w:val="20"/>
        </w:rPr>
      </w:pPr>
      <w:r>
        <w:rPr>
          <w:rFonts w:hint="eastAsia" w:ascii="Times New Roman" w:hAnsi="Times New Roman" w:cs="Times New Roman"/>
          <w:b/>
          <w:bCs/>
          <w:kern w:val="0"/>
          <w:sz w:val="20"/>
          <w:szCs w:val="20"/>
        </w:rPr>
        <w:t xml:space="preserve">Proposal 2: SSB-specific SMTC configuration can be introduced to beneficial both UE and NW for measurement. </w:t>
      </w:r>
    </w:p>
    <w:p>
      <w:pPr>
        <w:tabs>
          <w:tab w:val="center" w:pos="4819"/>
        </w:tabs>
        <w:spacing w:after="180"/>
        <w:jc w:val="both"/>
        <w:rPr>
          <w:rFonts w:hint="eastAsia" w:ascii="Times New Roman" w:hAnsi="Times New Roman" w:cs="Times New Roman"/>
          <w:b/>
          <w:iCs/>
          <w:kern w:val="0"/>
          <w:sz w:val="20"/>
          <w:szCs w:val="20"/>
        </w:rPr>
      </w:pPr>
      <w:r>
        <w:rPr>
          <w:rFonts w:hint="eastAsia" w:ascii="Times New Roman" w:hAnsi="Times New Roman" w:cs="Times New Roman"/>
          <w:b/>
          <w:iCs/>
          <w:kern w:val="0"/>
          <w:sz w:val="20"/>
          <w:szCs w:val="20"/>
        </w:rPr>
        <w:t>Proposal 3</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iCs/>
          <w:kern w:val="0"/>
          <w:sz w:val="20"/>
          <w:szCs w:val="20"/>
        </w:rPr>
        <w:t xml:space="preserve">If </w:t>
      </w:r>
      <w:r>
        <w:rPr>
          <w:rFonts w:hint="eastAsia" w:ascii="Times New Roman" w:hAnsi="Times New Roman" w:cs="Times New Roman"/>
          <w:b/>
          <w:iCs/>
          <w:kern w:val="0"/>
          <w:sz w:val="20"/>
          <w:szCs w:val="20"/>
          <w:lang w:val="en-GB"/>
        </w:rPr>
        <w:t>SSB-specific SMTC</w:t>
      </w:r>
      <w:r>
        <w:rPr>
          <w:rFonts w:hint="eastAsia" w:ascii="Times New Roman" w:hAnsi="Times New Roman" w:cs="Times New Roman"/>
          <w:b/>
          <w:iCs/>
          <w:kern w:val="0"/>
          <w:sz w:val="20"/>
          <w:szCs w:val="20"/>
        </w:rPr>
        <w:t xml:space="preserve"> applied, UE should reacquire the SMTC configuration when SSB index changes. </w:t>
      </w:r>
    </w:p>
    <w:p>
      <w:pPr>
        <w:tabs>
          <w:tab w:val="center" w:pos="4819"/>
        </w:tabs>
        <w:spacing w:after="180"/>
        <w:jc w:val="both"/>
        <w:rPr>
          <w:rFonts w:ascii="Times New Roman" w:hAnsi="Times New Roman" w:cs="Times New Roman"/>
          <w:b/>
          <w:iCs/>
          <w:kern w:val="0"/>
          <w:sz w:val="20"/>
          <w:szCs w:val="20"/>
        </w:rPr>
      </w:pPr>
      <w:r>
        <w:rPr>
          <w:rFonts w:hint="eastAsia" w:ascii="Times New Roman" w:hAnsi="Times New Roman" w:cs="Times New Roman"/>
          <w:b/>
          <w:iCs/>
          <w:kern w:val="0"/>
          <w:sz w:val="20"/>
          <w:szCs w:val="20"/>
          <w:lang w:val="en-GB"/>
        </w:rPr>
        <w:t xml:space="preserve">Observation </w:t>
      </w:r>
      <w:r>
        <w:rPr>
          <w:rFonts w:hint="eastAsia" w:ascii="Times New Roman" w:hAnsi="Times New Roman" w:cs="Times New Roman"/>
          <w:b/>
          <w:iCs/>
          <w:kern w:val="0"/>
          <w:sz w:val="20"/>
          <w:szCs w:val="20"/>
        </w:rPr>
        <w:t>1: Due to the SSB periodicity extension and beam hopping, gap configuration may be insufficient for DL-CE cells.</w:t>
      </w:r>
    </w:p>
    <w:p>
      <w:pPr>
        <w:spacing w:after="180"/>
        <w:jc w:val="both"/>
        <w:rPr>
          <w:rFonts w:ascii="Times New Roman" w:hAnsi="Times New Roman" w:cs="Times New Roman"/>
          <w:b/>
          <w:bCs/>
          <w:kern w:val="0"/>
          <w:sz w:val="20"/>
          <w:szCs w:val="20"/>
        </w:rPr>
      </w:pPr>
      <w:r>
        <w:rPr>
          <w:rFonts w:hint="eastAsia" w:ascii="Times New Roman" w:hAnsi="Times New Roman" w:cs="Times New Roman"/>
          <w:b/>
          <w:bCs/>
          <w:kern w:val="0"/>
          <w:sz w:val="20"/>
          <w:szCs w:val="20"/>
        </w:rPr>
        <w:t>Proposal 4</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bCs/>
          <w:kern w:val="0"/>
          <w:sz w:val="20"/>
          <w:szCs w:val="20"/>
        </w:rPr>
        <w:t>RAN2 is recommended to discuss the method for accurate gap configuration</w:t>
      </w:r>
      <w:r>
        <w:rPr>
          <w:rFonts w:hint="eastAsia" w:ascii="Times New Roman" w:hAnsi="Times New Roman" w:cs="Times New Roman"/>
          <w:b/>
          <w:bCs/>
          <w:kern w:val="0"/>
          <w:sz w:val="20"/>
          <w:szCs w:val="20"/>
          <w:lang w:val="en-US" w:eastAsia="zh-CN"/>
        </w:rPr>
        <w:t xml:space="preserve"> for DL-CE cells</w:t>
      </w:r>
      <w:r>
        <w:rPr>
          <w:rFonts w:hint="eastAsia" w:ascii="Times New Roman" w:hAnsi="Times New Roman" w:cs="Times New Roman"/>
          <w:b/>
          <w:bCs/>
          <w:kern w:val="0"/>
          <w:sz w:val="20"/>
          <w:szCs w:val="20"/>
        </w:rPr>
        <w:t xml:space="preserve">. </w:t>
      </w:r>
    </w:p>
    <w:p>
      <w:pPr>
        <w:spacing w:after="180"/>
        <w:jc w:val="both"/>
        <w:rPr>
          <w:rFonts w:hint="eastAsia" w:ascii="Times New Roman" w:hAnsi="Times New Roman" w:cs="Times New Roman"/>
          <w:b/>
          <w:bCs/>
          <w:kern w:val="0"/>
          <w:sz w:val="20"/>
          <w:szCs w:val="20"/>
        </w:rPr>
      </w:pPr>
      <w:r>
        <w:rPr>
          <w:rFonts w:hint="eastAsia" w:ascii="Times New Roman" w:hAnsi="Times New Roman" w:cs="Times New Roman"/>
          <w:b/>
          <w:bCs/>
          <w:kern w:val="0"/>
          <w:sz w:val="20"/>
          <w:szCs w:val="20"/>
        </w:rPr>
        <w:t>Proposal 5</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bCs/>
          <w:kern w:val="0"/>
          <w:sz w:val="20"/>
          <w:szCs w:val="20"/>
        </w:rPr>
        <w:t>The gNB shall implement different configurations for UEs in different areas to avoid invalid configurations.</w:t>
      </w:r>
    </w:p>
    <w:p>
      <w:pPr>
        <w:numPr>
          <w:ilvl w:val="-1"/>
          <w:numId w:val="0"/>
        </w:numPr>
        <w:spacing w:after="180"/>
        <w:jc w:val="both"/>
        <w:rPr>
          <w:rFonts w:ascii="Times New Roman" w:hAnsi="Times New Roman" w:eastAsia="Calibri" w:cs="Times New Roman"/>
          <w:b/>
          <w:bCs/>
          <w:kern w:val="0"/>
          <w:sz w:val="20"/>
          <w:szCs w:val="20"/>
        </w:rPr>
      </w:pPr>
      <w:r>
        <w:rPr>
          <w:rFonts w:hint="eastAsia" w:ascii="Times New Roman" w:hAnsi="Times New Roman" w:cs="Times New Roman"/>
          <w:b/>
          <w:bCs/>
          <w:kern w:val="0"/>
          <w:sz w:val="20"/>
          <w:szCs w:val="20"/>
        </w:rPr>
        <w:t>P</w:t>
      </w:r>
      <w:r>
        <w:rPr>
          <w:rFonts w:ascii="Times New Roman" w:hAnsi="Times New Roman" w:cs="Times New Roman"/>
          <w:b/>
          <w:bCs/>
          <w:kern w:val="0"/>
          <w:sz w:val="20"/>
          <w:szCs w:val="20"/>
        </w:rPr>
        <w:t xml:space="preserve">roposal </w:t>
      </w:r>
      <w:r>
        <w:rPr>
          <w:rFonts w:hint="eastAsia" w:ascii="Times New Roman" w:hAnsi="Times New Roman" w:cs="Times New Roman"/>
          <w:b/>
          <w:bCs/>
          <w:kern w:val="0"/>
          <w:sz w:val="20"/>
          <w:szCs w:val="20"/>
        </w:rPr>
        <w:t>6</w:t>
      </w:r>
      <w:r>
        <w:rPr>
          <w:rFonts w:ascii="Times New Roman" w:hAnsi="Times New Roman" w:cs="Times New Roman"/>
          <w:b/>
          <w:bCs/>
          <w:kern w:val="0"/>
          <w:sz w:val="20"/>
          <w:szCs w:val="20"/>
        </w:rPr>
        <w:t xml:space="preserve">: A new NTN bar bit with the value {barred, notBarred} should be introduced to achieve selectively bar UEs supporting DL-CE. </w:t>
      </w:r>
    </w:p>
    <w:p>
      <w:pPr>
        <w:spacing w:after="180"/>
        <w:jc w:val="both"/>
        <w:rPr>
          <w:rFonts w:ascii="Times New Roman" w:hAnsi="Times New Roman" w:cs="Times New Roman"/>
          <w:b/>
          <w:bCs/>
          <w:kern w:val="0"/>
          <w:sz w:val="20"/>
          <w:szCs w:val="20"/>
        </w:rPr>
      </w:pPr>
      <w:r>
        <w:rPr>
          <w:rFonts w:ascii="Times New Roman" w:hAnsi="Times New Roman" w:cs="Times New Roman"/>
          <w:b/>
          <w:bCs/>
          <w:kern w:val="0"/>
          <w:sz w:val="20"/>
          <w:szCs w:val="20"/>
        </w:rPr>
        <w:t xml:space="preserve">Proposal </w:t>
      </w:r>
      <w:r>
        <w:rPr>
          <w:rFonts w:hint="eastAsia" w:ascii="Times New Roman" w:hAnsi="Times New Roman" w:cs="Times New Roman"/>
          <w:b/>
          <w:bCs/>
          <w:kern w:val="0"/>
          <w:sz w:val="20"/>
          <w:szCs w:val="20"/>
        </w:rPr>
        <w:t>7</w:t>
      </w:r>
      <w:r>
        <w:rPr>
          <w:rFonts w:ascii="Times New Roman" w:hAnsi="Times New Roman" w:cs="Times New Roman"/>
          <w:b/>
          <w:bCs/>
          <w:kern w:val="0"/>
          <w:sz w:val="20"/>
          <w:szCs w:val="20"/>
        </w:rPr>
        <w:t>: RAN2</w:t>
      </w:r>
      <w:r>
        <w:rPr>
          <w:rFonts w:hint="eastAsia" w:ascii="Times New Roman" w:hAnsi="Times New Roman" w:cs="Times New Roman"/>
          <w:b/>
          <w:bCs/>
          <w:kern w:val="0"/>
          <w:sz w:val="20"/>
          <w:szCs w:val="20"/>
        </w:rPr>
        <w:t xml:space="preserve"> may discuss on</w:t>
      </w:r>
      <w:r>
        <w:rPr>
          <w:rFonts w:ascii="Times New Roman" w:hAnsi="Times New Roman" w:cs="Times New Roman"/>
          <w:b/>
          <w:bCs/>
          <w:kern w:val="0"/>
          <w:sz w:val="20"/>
          <w:szCs w:val="20"/>
        </w:rPr>
        <w:t xml:space="preserve"> support</w:t>
      </w:r>
      <w:r>
        <w:rPr>
          <w:rFonts w:hint="eastAsia" w:ascii="Times New Roman" w:hAnsi="Times New Roman" w:cs="Times New Roman"/>
          <w:b/>
          <w:bCs/>
          <w:kern w:val="0"/>
          <w:sz w:val="20"/>
          <w:szCs w:val="20"/>
        </w:rPr>
        <w:t>ing</w:t>
      </w:r>
      <w:r>
        <w:rPr>
          <w:rFonts w:ascii="Times New Roman" w:hAnsi="Times New Roman" w:cs="Times New Roman"/>
          <w:b/>
          <w:bCs/>
          <w:kern w:val="0"/>
          <w:sz w:val="20"/>
          <w:szCs w:val="20"/>
        </w:rPr>
        <w:t xml:space="preserve"> beam level DTX and</w:t>
      </w:r>
      <w:r>
        <w:rPr>
          <w:rFonts w:hint="eastAsia" w:ascii="Times New Roman" w:hAnsi="Times New Roman" w:cs="Times New Roman"/>
          <w:b/>
          <w:bCs/>
          <w:kern w:val="0"/>
          <w:sz w:val="20"/>
          <w:szCs w:val="20"/>
        </w:rPr>
        <w:t xml:space="preserve"> </w:t>
      </w:r>
      <w:r>
        <w:rPr>
          <w:rFonts w:ascii="Times New Roman" w:hAnsi="Times New Roman" w:cs="Times New Roman"/>
          <w:b/>
          <w:bCs/>
          <w:kern w:val="0"/>
          <w:sz w:val="20"/>
          <w:szCs w:val="20"/>
        </w:rPr>
        <w:t>the UE behaviors in different period.</w:t>
      </w:r>
    </w:p>
    <w:p>
      <w:pPr>
        <w:pStyle w:val="2"/>
        <w:spacing w:before="180"/>
        <w:ind w:left="850" w:hanging="849" w:hangingChars="236"/>
        <w:jc w:val="both"/>
      </w:pPr>
      <w:r>
        <w:rPr>
          <w:rFonts w:hint="eastAsia"/>
        </w:rPr>
        <w:t>Reference</w:t>
      </w:r>
    </w:p>
    <w:p>
      <w:pPr>
        <w:widowControl/>
        <w:numPr>
          <w:ilvl w:val="0"/>
          <w:numId w:val="20"/>
        </w:numPr>
        <w:spacing w:line="300" w:lineRule="auto"/>
        <w:rPr>
          <w:rFonts w:ascii="Times New Roman" w:hAnsi="Times New Roman" w:eastAsia="宋体"/>
          <w:sz w:val="20"/>
        </w:rPr>
      </w:pPr>
      <w:r>
        <w:rPr>
          <w:rFonts w:ascii="Times New Roman" w:hAnsi="Times New Roman" w:eastAsia="宋体"/>
          <w:sz w:val="20"/>
        </w:rPr>
        <w:t>Report of 3GPP TSG RAN WG2 meeting #12</w:t>
      </w:r>
      <w:r>
        <w:rPr>
          <w:rFonts w:hint="eastAsia" w:ascii="Times New Roman" w:hAnsi="Times New Roman" w:eastAsia="宋体"/>
          <w:sz w:val="20"/>
        </w:rPr>
        <w:t>9</w:t>
      </w:r>
    </w:p>
    <w:p>
      <w:pPr>
        <w:widowControl/>
        <w:numPr>
          <w:ilvl w:val="0"/>
          <w:numId w:val="20"/>
        </w:numPr>
        <w:spacing w:line="300" w:lineRule="auto"/>
        <w:rPr>
          <w:rFonts w:ascii="Times New Roman" w:hAnsi="Times New Roman" w:eastAsia="宋体"/>
          <w:sz w:val="20"/>
        </w:rPr>
      </w:pPr>
      <w:r>
        <w:fldChar w:fldCharType="begin"/>
      </w:r>
      <w:r>
        <w:instrText xml:space="preserve"> HYPERLINK "file:///C:\\Data\\3GPP\\RAN2\\Inbox\\R2-2501415.zip" \o "C:Data3GPPRAN2InboxR2-2501415.zip" </w:instrText>
      </w:r>
      <w:r>
        <w:fldChar w:fldCharType="separate"/>
      </w:r>
      <w:r>
        <w:rPr>
          <w:rFonts w:hint="eastAsia" w:ascii="Times New Roman" w:hAnsi="Times New Roman" w:eastAsia="宋体"/>
          <w:sz w:val="20"/>
        </w:rPr>
        <w:t>R2-2501415</w:t>
      </w:r>
      <w:r>
        <w:rPr>
          <w:rFonts w:hint="eastAsia" w:ascii="Times New Roman" w:hAnsi="Times New Roman" w:eastAsia="宋体"/>
          <w:sz w:val="20"/>
        </w:rPr>
        <w:fldChar w:fldCharType="end"/>
      </w:r>
      <w:r>
        <w:rPr>
          <w:rFonts w:hint="eastAsia" w:ascii="Times New Roman" w:hAnsi="Times New Roman" w:eastAsia="宋体"/>
          <w:sz w:val="20"/>
        </w:rPr>
        <w:t>, Report of [AT129][304][R19 NR NTN] LS to RAN1 on DL coverage enhancements</w:t>
      </w:r>
    </w:p>
    <w:p>
      <w:pPr>
        <w:widowControl/>
        <w:spacing w:line="300" w:lineRule="auto"/>
        <w:rPr>
          <w:rFonts w:ascii="Times New Roman" w:hAnsi="Times New Roman" w:eastAsia="宋体"/>
          <w:sz w:val="20"/>
        </w:rPr>
      </w:pPr>
    </w:p>
    <w:sectPr>
      <w:footerReference r:id="rId6" w:type="default"/>
      <w:headerReference r:id="rId5" w:type="even"/>
      <w:footnotePr>
        <w:numRestart w:val="eachSect"/>
      </w:footnotePr>
      <w:pgSz w:w="11907" w:h="16840"/>
      <w:pgMar w:top="1134" w:right="1134" w:bottom="1418" w:left="1134" w:header="680" w:footer="567" w:gutter="0"/>
      <w:cols w:space="720" w:num="1"/>
      <w:docGrid w:linePitch="2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center" w:pos="4820"/>
        <w:tab w:val="right" w:pos="9639"/>
      </w:tabs>
      <w:jc w:val="left"/>
    </w:pPr>
    <w:r>
      <w:tab/>
    </w:r>
    <w:r>
      <w:rPr>
        <w:rStyle w:val="58"/>
      </w:rPr>
      <w:fldChar w:fldCharType="begin"/>
    </w:r>
    <w:r>
      <w:rPr>
        <w:rStyle w:val="58"/>
      </w:rPr>
      <w:instrText xml:space="preserve"> PAGE </w:instrText>
    </w:r>
    <w:r>
      <w:rPr>
        <w:rStyle w:val="58"/>
      </w:rPr>
      <w:fldChar w:fldCharType="separate"/>
    </w:r>
    <w:r>
      <w:rPr>
        <w:rStyle w:val="58"/>
      </w:rPr>
      <w:t>5</w:t>
    </w:r>
    <w:r>
      <w:rPr>
        <w:rStyle w:val="58"/>
      </w:rPr>
      <w:fldChar w:fldCharType="end"/>
    </w:r>
    <w:r>
      <w:rPr>
        <w:rStyle w:val="58"/>
      </w:rPr>
      <w:t>/</w:t>
    </w:r>
    <w:r>
      <w:rPr>
        <w:rStyle w:val="58"/>
      </w:rPr>
      <w:fldChar w:fldCharType="begin"/>
    </w:r>
    <w:r>
      <w:rPr>
        <w:rStyle w:val="58"/>
      </w:rPr>
      <w:instrText xml:space="preserve"> NUMPAGES </w:instrText>
    </w:r>
    <w:r>
      <w:rPr>
        <w:rStyle w:val="58"/>
      </w:rPr>
      <w:fldChar w:fldCharType="separate"/>
    </w:r>
    <w:r>
      <w:rPr>
        <w:rStyle w:val="58"/>
      </w:rPr>
      <w:t>5</w:t>
    </w:r>
    <w:r>
      <w:rPr>
        <w:rStyle w:val="58"/>
      </w:rPr>
      <w:fldChar w:fldCharType="end"/>
    </w:r>
    <w:r>
      <w:rPr>
        <w:rStyle w:val="5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96779"/>
    <w:multiLevelType w:val="singleLevel"/>
    <w:tmpl w:val="D4796779"/>
    <w:lvl w:ilvl="0" w:tentative="0">
      <w:start w:val="1"/>
      <w:numFmt w:val="decimal"/>
      <w:suff w:val="space"/>
      <w:lvlText w:val="%1."/>
      <w:lvlJc w:val="left"/>
    </w:lvl>
  </w:abstractNum>
  <w:abstractNum w:abstractNumId="1">
    <w:nsid w:val="FFFFFF7E"/>
    <w:multiLevelType w:val="singleLevel"/>
    <w:tmpl w:val="FFFFFF7E"/>
    <w:lvl w:ilvl="0" w:tentative="0">
      <w:start w:val="1"/>
      <w:numFmt w:val="lowerRoman"/>
      <w:pStyle w:val="32"/>
      <w:lvlText w:val="%1."/>
      <w:lvlJc w:val="right"/>
      <w:pPr>
        <w:ind w:left="926" w:hanging="360"/>
      </w:pPr>
    </w:lvl>
  </w:abstractNum>
  <w:abstractNum w:abstractNumId="2">
    <w:nsid w:val="05123E5E"/>
    <w:multiLevelType w:val="multilevel"/>
    <w:tmpl w:val="05123E5E"/>
    <w:lvl w:ilvl="0" w:tentative="0">
      <w:start w:val="6"/>
      <w:numFmt w:val="bullet"/>
      <w:lvlText w:val="-"/>
      <w:lvlJc w:val="left"/>
      <w:pPr>
        <w:ind w:left="720" w:hanging="360"/>
      </w:pPr>
      <w:rPr>
        <w:rFonts w:hint="default" w:ascii="Arial" w:hAnsi="Arial" w:eastAsia="MS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D367570"/>
    <w:multiLevelType w:val="multilevel"/>
    <w:tmpl w:val="0D367570"/>
    <w:lvl w:ilvl="0" w:tentative="0">
      <w:start w:val="1"/>
      <w:numFmt w:val="decimal"/>
      <w:pStyle w:val="1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0F847706"/>
    <w:multiLevelType w:val="multilevel"/>
    <w:tmpl w:val="0F847706"/>
    <w:lvl w:ilvl="0" w:tentative="0">
      <w:start w:val="1"/>
      <w:numFmt w:val="bullet"/>
      <w:pStyle w:val="24"/>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5">
    <w:nsid w:val="20396CDA"/>
    <w:multiLevelType w:val="multilevel"/>
    <w:tmpl w:val="20396CDA"/>
    <w:lvl w:ilvl="0" w:tentative="0">
      <w:start w:val="1"/>
      <w:numFmt w:val="bullet"/>
      <w:pStyle w:val="26"/>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6">
    <w:nsid w:val="275A7442"/>
    <w:multiLevelType w:val="multilevel"/>
    <w:tmpl w:val="275A7442"/>
    <w:lvl w:ilvl="0" w:tentative="0">
      <w:start w:val="1"/>
      <w:numFmt w:val="bullet"/>
      <w:pStyle w:val="25"/>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7">
    <w:nsid w:val="29F978E9"/>
    <w:multiLevelType w:val="multilevel"/>
    <w:tmpl w:val="29F978E9"/>
    <w:lvl w:ilvl="0" w:tentative="0">
      <w:start w:val="1"/>
      <w:numFmt w:val="bullet"/>
      <w:pStyle w:val="16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02A77B5"/>
    <w:multiLevelType w:val="multilevel"/>
    <w:tmpl w:val="302A77B5"/>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9">
    <w:nsid w:val="30526EB1"/>
    <w:multiLevelType w:val="multilevel"/>
    <w:tmpl w:val="30526EB1"/>
    <w:lvl w:ilvl="0" w:tentative="0">
      <w:start w:val="1"/>
      <w:numFmt w:val="bullet"/>
      <w:pStyle w:val="153"/>
      <w:lvlText w:val=""/>
      <w:lvlJc w:val="left"/>
      <w:pPr>
        <w:ind w:left="1699" w:hanging="440"/>
      </w:pPr>
      <w:rPr>
        <w:rFonts w:hint="default" w:ascii="Symbol" w:hAnsi="Symbol"/>
        <w:b/>
        <w:i w:val="0"/>
        <w:color w:val="auto"/>
        <w:sz w:val="22"/>
      </w:rPr>
    </w:lvl>
    <w:lvl w:ilvl="1" w:tentative="0">
      <w:start w:val="1"/>
      <w:numFmt w:val="bullet"/>
      <w:lvlText w:val=""/>
      <w:lvlJc w:val="left"/>
      <w:pPr>
        <w:ind w:left="2139" w:hanging="440"/>
      </w:pPr>
      <w:rPr>
        <w:rFonts w:hint="default" w:ascii="Wingdings" w:hAnsi="Wingdings"/>
      </w:rPr>
    </w:lvl>
    <w:lvl w:ilvl="2" w:tentative="0">
      <w:start w:val="1"/>
      <w:numFmt w:val="bullet"/>
      <w:lvlText w:val=""/>
      <w:lvlJc w:val="left"/>
      <w:pPr>
        <w:ind w:left="2579" w:hanging="440"/>
      </w:pPr>
      <w:rPr>
        <w:rFonts w:hint="default" w:ascii="Wingdings" w:hAnsi="Wingdings"/>
      </w:rPr>
    </w:lvl>
    <w:lvl w:ilvl="3" w:tentative="0">
      <w:start w:val="1"/>
      <w:numFmt w:val="bullet"/>
      <w:lvlText w:val=""/>
      <w:lvlJc w:val="left"/>
      <w:pPr>
        <w:ind w:left="3019" w:hanging="440"/>
      </w:pPr>
      <w:rPr>
        <w:rFonts w:hint="default" w:ascii="Wingdings" w:hAnsi="Wingdings"/>
      </w:rPr>
    </w:lvl>
    <w:lvl w:ilvl="4" w:tentative="0">
      <w:start w:val="1"/>
      <w:numFmt w:val="bullet"/>
      <w:lvlText w:val=""/>
      <w:lvlJc w:val="left"/>
      <w:pPr>
        <w:ind w:left="3459" w:hanging="440"/>
      </w:pPr>
      <w:rPr>
        <w:rFonts w:hint="default" w:ascii="Wingdings" w:hAnsi="Wingdings"/>
      </w:rPr>
    </w:lvl>
    <w:lvl w:ilvl="5" w:tentative="0">
      <w:start w:val="1"/>
      <w:numFmt w:val="bullet"/>
      <w:lvlText w:val=""/>
      <w:lvlJc w:val="left"/>
      <w:pPr>
        <w:ind w:left="3899" w:hanging="440"/>
      </w:pPr>
      <w:rPr>
        <w:rFonts w:hint="default" w:ascii="Wingdings" w:hAnsi="Wingdings"/>
      </w:rPr>
    </w:lvl>
    <w:lvl w:ilvl="6" w:tentative="0">
      <w:start w:val="1"/>
      <w:numFmt w:val="bullet"/>
      <w:lvlText w:val=""/>
      <w:lvlJc w:val="left"/>
      <w:pPr>
        <w:ind w:left="4339" w:hanging="440"/>
      </w:pPr>
      <w:rPr>
        <w:rFonts w:hint="default" w:ascii="Wingdings" w:hAnsi="Wingdings"/>
      </w:rPr>
    </w:lvl>
    <w:lvl w:ilvl="7" w:tentative="0">
      <w:start w:val="1"/>
      <w:numFmt w:val="bullet"/>
      <w:lvlText w:val=""/>
      <w:lvlJc w:val="left"/>
      <w:pPr>
        <w:ind w:left="4779" w:hanging="440"/>
      </w:pPr>
      <w:rPr>
        <w:rFonts w:hint="default" w:ascii="Wingdings" w:hAnsi="Wingdings"/>
      </w:rPr>
    </w:lvl>
    <w:lvl w:ilvl="8" w:tentative="0">
      <w:start w:val="1"/>
      <w:numFmt w:val="bullet"/>
      <w:lvlText w:val=""/>
      <w:lvlJc w:val="left"/>
      <w:pPr>
        <w:ind w:left="5219" w:hanging="440"/>
      </w:pPr>
      <w:rPr>
        <w:rFonts w:hint="default" w:ascii="Wingdings" w:hAnsi="Wingdings"/>
      </w:rPr>
    </w:lvl>
  </w:abstractNum>
  <w:abstractNum w:abstractNumId="10">
    <w:nsid w:val="33EA44FF"/>
    <w:multiLevelType w:val="multilevel"/>
    <w:tmpl w:val="33EA44FF"/>
    <w:lvl w:ilvl="0" w:tentative="0">
      <w:start w:val="1"/>
      <w:numFmt w:val="decimal"/>
      <w:pStyle w:val="23"/>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1">
    <w:nsid w:val="3AA46647"/>
    <w:multiLevelType w:val="multilevel"/>
    <w:tmpl w:val="3AA46647"/>
    <w:lvl w:ilvl="0" w:tentative="0">
      <w:start w:val="1"/>
      <w:numFmt w:val="decimal"/>
      <w:pStyle w:val="7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BDF65F6"/>
    <w:multiLevelType w:val="multilevel"/>
    <w:tmpl w:val="4BDF65F6"/>
    <w:lvl w:ilvl="0" w:tentative="0">
      <w:start w:val="1"/>
      <w:numFmt w:val="decimal"/>
      <w:pStyle w:val="7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10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21F44A7"/>
    <w:multiLevelType w:val="multilevel"/>
    <w:tmpl w:val="521F44A7"/>
    <w:lvl w:ilvl="0" w:tentative="0">
      <w:start w:val="1"/>
      <w:numFmt w:val="bullet"/>
      <w:pStyle w:val="12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BDE1D10"/>
    <w:multiLevelType w:val="multilevel"/>
    <w:tmpl w:val="5BDE1D10"/>
    <w:lvl w:ilvl="0" w:tentative="0">
      <w:start w:val="1"/>
      <w:numFmt w:val="bullet"/>
      <w:pStyle w:val="27"/>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6">
    <w:nsid w:val="63690C9E"/>
    <w:multiLevelType w:val="singleLevel"/>
    <w:tmpl w:val="63690C9E"/>
    <w:lvl w:ilvl="0" w:tentative="0">
      <w:start w:val="1"/>
      <w:numFmt w:val="bullet"/>
      <w:pStyle w:val="171"/>
      <w:lvlText w:val=""/>
      <w:lvlJc w:val="left"/>
      <w:pPr>
        <w:tabs>
          <w:tab w:val="left" w:pos="360"/>
        </w:tabs>
        <w:ind w:left="360" w:hanging="360"/>
      </w:pPr>
      <w:rPr>
        <w:rFonts w:hint="default" w:ascii="Wingdings" w:hAnsi="Wingdings"/>
      </w:rPr>
    </w:lvl>
  </w:abstractNum>
  <w:abstractNum w:abstractNumId="17">
    <w:nsid w:val="6BB4DF6D"/>
    <w:multiLevelType w:val="singleLevel"/>
    <w:tmpl w:val="6BB4DF6D"/>
    <w:lvl w:ilvl="0" w:tentative="0">
      <w:start w:val="1"/>
      <w:numFmt w:val="decimal"/>
      <w:suff w:val="space"/>
      <w:lvlText w:val="[%1]"/>
      <w:lvlJc w:val="left"/>
    </w:lvl>
  </w:abstractNum>
  <w:abstractNum w:abstractNumId="18">
    <w:nsid w:val="6E4C234E"/>
    <w:multiLevelType w:val="multilevel"/>
    <w:tmpl w:val="6E4C234E"/>
    <w:lvl w:ilvl="0" w:tentative="0">
      <w:start w:val="1"/>
      <w:numFmt w:val="lowerLetter"/>
      <w:pStyle w:val="22"/>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9">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8"/>
  </w:num>
  <w:num w:numId="2">
    <w:abstractNumId w:val="18"/>
  </w:num>
  <w:num w:numId="3">
    <w:abstractNumId w:val="10"/>
  </w:num>
  <w:num w:numId="4">
    <w:abstractNumId w:val="4"/>
  </w:num>
  <w:num w:numId="5">
    <w:abstractNumId w:val="6"/>
  </w:num>
  <w:num w:numId="6">
    <w:abstractNumId w:val="5"/>
  </w:num>
  <w:num w:numId="7">
    <w:abstractNumId w:val="15"/>
  </w:num>
  <w:num w:numId="8">
    <w:abstractNumId w:val="1"/>
  </w:num>
  <w:num w:numId="9">
    <w:abstractNumId w:val="19"/>
  </w:num>
  <w:num w:numId="10">
    <w:abstractNumId w:val="12"/>
  </w:num>
  <w:num w:numId="11">
    <w:abstractNumId w:val="11"/>
  </w:num>
  <w:num w:numId="12">
    <w:abstractNumId w:val="13"/>
  </w:num>
  <w:num w:numId="13">
    <w:abstractNumId w:val="14"/>
  </w:num>
  <w:num w:numId="14">
    <w:abstractNumId w:val="9"/>
  </w:num>
  <w:num w:numId="15">
    <w:abstractNumId w:val="7"/>
  </w:num>
  <w:num w:numId="16">
    <w:abstractNumId w:val="16"/>
  </w:num>
  <w:num w:numId="17">
    <w:abstractNumId w:val="3"/>
  </w:num>
  <w:num w:numId="18">
    <w:abstractNumId w:val="0"/>
  </w:num>
  <w:num w:numId="19">
    <w:abstractNumId w:val="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567"/>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zA3NzK0NDAwNDAwNbNQ0lEKTi0uzszPAykwqwUAB0NL2SwAAAA="/>
    <w:docVar w:name="commondata" w:val="eyJoZGlkIjoiYzgyYWExZDAyNmVmNzhjMmIzOGU2YjllYjc2NDA5NGIifQ=="/>
    <w:docVar w:name="KSO_WPS_MARK_KEY" w:val="3874a05f-426c-4b05-8927-1ee181679eb9"/>
  </w:docVars>
  <w:rsids>
    <w:rsidRoot w:val="00BB52B0"/>
    <w:rsid w:val="00000094"/>
    <w:rsid w:val="0000018E"/>
    <w:rsid w:val="000006E1"/>
    <w:rsid w:val="000010CD"/>
    <w:rsid w:val="0000232F"/>
    <w:rsid w:val="00002A37"/>
    <w:rsid w:val="00002DC1"/>
    <w:rsid w:val="00003A85"/>
    <w:rsid w:val="00003CF5"/>
    <w:rsid w:val="00003D98"/>
    <w:rsid w:val="00004814"/>
    <w:rsid w:val="00004FB5"/>
    <w:rsid w:val="0000505D"/>
    <w:rsid w:val="0000564C"/>
    <w:rsid w:val="00006446"/>
    <w:rsid w:val="00006896"/>
    <w:rsid w:val="00006AC8"/>
    <w:rsid w:val="00007B09"/>
    <w:rsid w:val="00007CDC"/>
    <w:rsid w:val="00011B28"/>
    <w:rsid w:val="00012C1E"/>
    <w:rsid w:val="00013645"/>
    <w:rsid w:val="00013992"/>
    <w:rsid w:val="00014BD4"/>
    <w:rsid w:val="00015D15"/>
    <w:rsid w:val="0001623F"/>
    <w:rsid w:val="0001658E"/>
    <w:rsid w:val="00016666"/>
    <w:rsid w:val="00017139"/>
    <w:rsid w:val="00020B31"/>
    <w:rsid w:val="00020BBA"/>
    <w:rsid w:val="00021ACF"/>
    <w:rsid w:val="000235AA"/>
    <w:rsid w:val="00023CC2"/>
    <w:rsid w:val="00024C46"/>
    <w:rsid w:val="000252B9"/>
    <w:rsid w:val="0002564D"/>
    <w:rsid w:val="00025ECA"/>
    <w:rsid w:val="00025F6F"/>
    <w:rsid w:val="000264A7"/>
    <w:rsid w:val="00026F50"/>
    <w:rsid w:val="0002718E"/>
    <w:rsid w:val="00027A07"/>
    <w:rsid w:val="00027D83"/>
    <w:rsid w:val="00030388"/>
    <w:rsid w:val="000304CA"/>
    <w:rsid w:val="00031315"/>
    <w:rsid w:val="00031598"/>
    <w:rsid w:val="0003177D"/>
    <w:rsid w:val="000319EE"/>
    <w:rsid w:val="000321B2"/>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46C"/>
    <w:rsid w:val="00050EC9"/>
    <w:rsid w:val="000515FE"/>
    <w:rsid w:val="00052A07"/>
    <w:rsid w:val="00052C40"/>
    <w:rsid w:val="000534E3"/>
    <w:rsid w:val="00054205"/>
    <w:rsid w:val="0005452C"/>
    <w:rsid w:val="000549E3"/>
    <w:rsid w:val="00054D0D"/>
    <w:rsid w:val="000552B7"/>
    <w:rsid w:val="0005606A"/>
    <w:rsid w:val="000561BE"/>
    <w:rsid w:val="00057117"/>
    <w:rsid w:val="0005724C"/>
    <w:rsid w:val="0005750E"/>
    <w:rsid w:val="00060FF1"/>
    <w:rsid w:val="000616E7"/>
    <w:rsid w:val="00061DE7"/>
    <w:rsid w:val="00061FBA"/>
    <w:rsid w:val="0006262A"/>
    <w:rsid w:val="00062EB8"/>
    <w:rsid w:val="00062ED8"/>
    <w:rsid w:val="00062FC6"/>
    <w:rsid w:val="000645E3"/>
    <w:rsid w:val="0006487E"/>
    <w:rsid w:val="00064E3B"/>
    <w:rsid w:val="00064E62"/>
    <w:rsid w:val="0006540E"/>
    <w:rsid w:val="00065E1A"/>
    <w:rsid w:val="00070603"/>
    <w:rsid w:val="00070B24"/>
    <w:rsid w:val="000715BC"/>
    <w:rsid w:val="00071695"/>
    <w:rsid w:val="000717A0"/>
    <w:rsid w:val="00071AE2"/>
    <w:rsid w:val="000727B2"/>
    <w:rsid w:val="000733E3"/>
    <w:rsid w:val="000741FB"/>
    <w:rsid w:val="000754D6"/>
    <w:rsid w:val="000771D1"/>
    <w:rsid w:val="00077532"/>
    <w:rsid w:val="00077E5F"/>
    <w:rsid w:val="0008036A"/>
    <w:rsid w:val="0008052D"/>
    <w:rsid w:val="000819F4"/>
    <w:rsid w:val="00081AE6"/>
    <w:rsid w:val="0008269A"/>
    <w:rsid w:val="00082DF4"/>
    <w:rsid w:val="0008337A"/>
    <w:rsid w:val="0008377C"/>
    <w:rsid w:val="00084C85"/>
    <w:rsid w:val="0008535A"/>
    <w:rsid w:val="000855EB"/>
    <w:rsid w:val="00085689"/>
    <w:rsid w:val="000857DB"/>
    <w:rsid w:val="00085B52"/>
    <w:rsid w:val="00085C49"/>
    <w:rsid w:val="00085F23"/>
    <w:rsid w:val="000866F2"/>
    <w:rsid w:val="00086779"/>
    <w:rsid w:val="00086A64"/>
    <w:rsid w:val="0009009F"/>
    <w:rsid w:val="00090130"/>
    <w:rsid w:val="000904D2"/>
    <w:rsid w:val="00091338"/>
    <w:rsid w:val="00091557"/>
    <w:rsid w:val="00091D3B"/>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0C0"/>
    <w:rsid w:val="000A1118"/>
    <w:rsid w:val="000A1B7B"/>
    <w:rsid w:val="000A215D"/>
    <w:rsid w:val="000A22D8"/>
    <w:rsid w:val="000A263F"/>
    <w:rsid w:val="000A3375"/>
    <w:rsid w:val="000A3A86"/>
    <w:rsid w:val="000A45FD"/>
    <w:rsid w:val="000A530D"/>
    <w:rsid w:val="000A5599"/>
    <w:rsid w:val="000A56F2"/>
    <w:rsid w:val="000A5EAC"/>
    <w:rsid w:val="000A7B2A"/>
    <w:rsid w:val="000B100F"/>
    <w:rsid w:val="000B18DD"/>
    <w:rsid w:val="000B1E08"/>
    <w:rsid w:val="000B2719"/>
    <w:rsid w:val="000B2828"/>
    <w:rsid w:val="000B2DBC"/>
    <w:rsid w:val="000B2F12"/>
    <w:rsid w:val="000B3A8F"/>
    <w:rsid w:val="000B4AB9"/>
    <w:rsid w:val="000B58C3"/>
    <w:rsid w:val="000B61E9"/>
    <w:rsid w:val="000B6356"/>
    <w:rsid w:val="000B7692"/>
    <w:rsid w:val="000C05EA"/>
    <w:rsid w:val="000C0AD4"/>
    <w:rsid w:val="000C0B96"/>
    <w:rsid w:val="000C109C"/>
    <w:rsid w:val="000C165A"/>
    <w:rsid w:val="000C1BD1"/>
    <w:rsid w:val="000C1F68"/>
    <w:rsid w:val="000C22D4"/>
    <w:rsid w:val="000C2424"/>
    <w:rsid w:val="000C2622"/>
    <w:rsid w:val="000C2C2A"/>
    <w:rsid w:val="000C2CDC"/>
    <w:rsid w:val="000C2E19"/>
    <w:rsid w:val="000C3141"/>
    <w:rsid w:val="000C5882"/>
    <w:rsid w:val="000C6E26"/>
    <w:rsid w:val="000C76D9"/>
    <w:rsid w:val="000D0B2A"/>
    <w:rsid w:val="000D0D07"/>
    <w:rsid w:val="000D1485"/>
    <w:rsid w:val="000D4797"/>
    <w:rsid w:val="000D53A8"/>
    <w:rsid w:val="000D57BC"/>
    <w:rsid w:val="000D5E26"/>
    <w:rsid w:val="000D6004"/>
    <w:rsid w:val="000D6477"/>
    <w:rsid w:val="000D6765"/>
    <w:rsid w:val="000D6AF9"/>
    <w:rsid w:val="000D6C9C"/>
    <w:rsid w:val="000D6D11"/>
    <w:rsid w:val="000D70BD"/>
    <w:rsid w:val="000E01B0"/>
    <w:rsid w:val="000E0268"/>
    <w:rsid w:val="000E0527"/>
    <w:rsid w:val="000E0CF7"/>
    <w:rsid w:val="000E0DB9"/>
    <w:rsid w:val="000E0E14"/>
    <w:rsid w:val="000E1E92"/>
    <w:rsid w:val="000E21F7"/>
    <w:rsid w:val="000E2B58"/>
    <w:rsid w:val="000E47CC"/>
    <w:rsid w:val="000E54A5"/>
    <w:rsid w:val="000E6D73"/>
    <w:rsid w:val="000E6EB9"/>
    <w:rsid w:val="000E70A9"/>
    <w:rsid w:val="000F04D1"/>
    <w:rsid w:val="000F06D6"/>
    <w:rsid w:val="000F0EB1"/>
    <w:rsid w:val="000F1106"/>
    <w:rsid w:val="000F1BCA"/>
    <w:rsid w:val="000F20B4"/>
    <w:rsid w:val="000F2C63"/>
    <w:rsid w:val="000F30F4"/>
    <w:rsid w:val="000F3BE9"/>
    <w:rsid w:val="000F3F6C"/>
    <w:rsid w:val="000F4934"/>
    <w:rsid w:val="000F4AAE"/>
    <w:rsid w:val="000F6394"/>
    <w:rsid w:val="000F660E"/>
    <w:rsid w:val="000F6A5F"/>
    <w:rsid w:val="000F6D0A"/>
    <w:rsid w:val="000F6DF3"/>
    <w:rsid w:val="000F6F1A"/>
    <w:rsid w:val="000F7E60"/>
    <w:rsid w:val="001005FF"/>
    <w:rsid w:val="00100C38"/>
    <w:rsid w:val="00100F06"/>
    <w:rsid w:val="0010127B"/>
    <w:rsid w:val="00101637"/>
    <w:rsid w:val="001032E8"/>
    <w:rsid w:val="0010414A"/>
    <w:rsid w:val="00105A73"/>
    <w:rsid w:val="001062FB"/>
    <w:rsid w:val="001063E6"/>
    <w:rsid w:val="00106A4A"/>
    <w:rsid w:val="00106B09"/>
    <w:rsid w:val="00110D17"/>
    <w:rsid w:val="00111999"/>
    <w:rsid w:val="00112A86"/>
    <w:rsid w:val="00113CF4"/>
    <w:rsid w:val="001142F1"/>
    <w:rsid w:val="00114D46"/>
    <w:rsid w:val="001153EA"/>
    <w:rsid w:val="00115643"/>
    <w:rsid w:val="00116765"/>
    <w:rsid w:val="001171EB"/>
    <w:rsid w:val="001210DE"/>
    <w:rsid w:val="00121570"/>
    <w:rsid w:val="00121752"/>
    <w:rsid w:val="001219F5"/>
    <w:rsid w:val="00121A20"/>
    <w:rsid w:val="00121E0C"/>
    <w:rsid w:val="00123386"/>
    <w:rsid w:val="001235FD"/>
    <w:rsid w:val="00123610"/>
    <w:rsid w:val="001236C1"/>
    <w:rsid w:val="0012377F"/>
    <w:rsid w:val="00123B7F"/>
    <w:rsid w:val="00124314"/>
    <w:rsid w:val="00125FBE"/>
    <w:rsid w:val="00126758"/>
    <w:rsid w:val="00126B4A"/>
    <w:rsid w:val="00126C34"/>
    <w:rsid w:val="00127BBD"/>
    <w:rsid w:val="00130168"/>
    <w:rsid w:val="00130D64"/>
    <w:rsid w:val="00130FF5"/>
    <w:rsid w:val="0013140E"/>
    <w:rsid w:val="001316D7"/>
    <w:rsid w:val="00131D6D"/>
    <w:rsid w:val="0013277C"/>
    <w:rsid w:val="00132AF0"/>
    <w:rsid w:val="00132D59"/>
    <w:rsid w:val="00132FD0"/>
    <w:rsid w:val="001337C7"/>
    <w:rsid w:val="001344C0"/>
    <w:rsid w:val="001346FA"/>
    <w:rsid w:val="00134889"/>
    <w:rsid w:val="00135252"/>
    <w:rsid w:val="001356D5"/>
    <w:rsid w:val="0013667F"/>
    <w:rsid w:val="00136DC3"/>
    <w:rsid w:val="00137AB5"/>
    <w:rsid w:val="00137F0B"/>
    <w:rsid w:val="00137FD1"/>
    <w:rsid w:val="00140A58"/>
    <w:rsid w:val="00140D56"/>
    <w:rsid w:val="00140EF8"/>
    <w:rsid w:val="00142529"/>
    <w:rsid w:val="001438E9"/>
    <w:rsid w:val="00143F0A"/>
    <w:rsid w:val="00144780"/>
    <w:rsid w:val="00144DF4"/>
    <w:rsid w:val="00145564"/>
    <w:rsid w:val="00145A69"/>
    <w:rsid w:val="001470AC"/>
    <w:rsid w:val="001471C6"/>
    <w:rsid w:val="00150134"/>
    <w:rsid w:val="00150A58"/>
    <w:rsid w:val="00150B8C"/>
    <w:rsid w:val="00150FA7"/>
    <w:rsid w:val="001518E5"/>
    <w:rsid w:val="00151E23"/>
    <w:rsid w:val="0015210A"/>
    <w:rsid w:val="001526E0"/>
    <w:rsid w:val="001527F5"/>
    <w:rsid w:val="0015295F"/>
    <w:rsid w:val="00153019"/>
    <w:rsid w:val="001551B5"/>
    <w:rsid w:val="0015586D"/>
    <w:rsid w:val="0015632F"/>
    <w:rsid w:val="001567AA"/>
    <w:rsid w:val="00156D7A"/>
    <w:rsid w:val="00157094"/>
    <w:rsid w:val="00157E20"/>
    <w:rsid w:val="001606AE"/>
    <w:rsid w:val="00161640"/>
    <w:rsid w:val="00161E13"/>
    <w:rsid w:val="00162C7A"/>
    <w:rsid w:val="001632E2"/>
    <w:rsid w:val="0016368D"/>
    <w:rsid w:val="00163C12"/>
    <w:rsid w:val="00163E62"/>
    <w:rsid w:val="001645C8"/>
    <w:rsid w:val="0016492E"/>
    <w:rsid w:val="00164DEF"/>
    <w:rsid w:val="00164F4B"/>
    <w:rsid w:val="001659C1"/>
    <w:rsid w:val="00165F32"/>
    <w:rsid w:val="001673AA"/>
    <w:rsid w:val="001705E9"/>
    <w:rsid w:val="001711F3"/>
    <w:rsid w:val="00171EF9"/>
    <w:rsid w:val="0017208D"/>
    <w:rsid w:val="0017289F"/>
    <w:rsid w:val="0017293D"/>
    <w:rsid w:val="00172C61"/>
    <w:rsid w:val="00173A8E"/>
    <w:rsid w:val="00174538"/>
    <w:rsid w:val="0017483D"/>
    <w:rsid w:val="0017484B"/>
    <w:rsid w:val="0017502C"/>
    <w:rsid w:val="00175360"/>
    <w:rsid w:val="00175B68"/>
    <w:rsid w:val="00175EBF"/>
    <w:rsid w:val="00176680"/>
    <w:rsid w:val="0018009C"/>
    <w:rsid w:val="001803D7"/>
    <w:rsid w:val="001803EE"/>
    <w:rsid w:val="00180BAE"/>
    <w:rsid w:val="0018143F"/>
    <w:rsid w:val="001815AD"/>
    <w:rsid w:val="00181602"/>
    <w:rsid w:val="00181FF8"/>
    <w:rsid w:val="00183849"/>
    <w:rsid w:val="0018429C"/>
    <w:rsid w:val="0018500C"/>
    <w:rsid w:val="001860B8"/>
    <w:rsid w:val="0018664A"/>
    <w:rsid w:val="001869F7"/>
    <w:rsid w:val="0018756E"/>
    <w:rsid w:val="0019026F"/>
    <w:rsid w:val="00190AC1"/>
    <w:rsid w:val="001914CB"/>
    <w:rsid w:val="00191B90"/>
    <w:rsid w:val="00191CBB"/>
    <w:rsid w:val="001926E3"/>
    <w:rsid w:val="001929F7"/>
    <w:rsid w:val="0019341A"/>
    <w:rsid w:val="00193EDF"/>
    <w:rsid w:val="00194C84"/>
    <w:rsid w:val="00194EA4"/>
    <w:rsid w:val="001962B0"/>
    <w:rsid w:val="00197127"/>
    <w:rsid w:val="00197DF9"/>
    <w:rsid w:val="001A1987"/>
    <w:rsid w:val="001A2564"/>
    <w:rsid w:val="001A30F2"/>
    <w:rsid w:val="001A3C44"/>
    <w:rsid w:val="001A3D65"/>
    <w:rsid w:val="001A44A6"/>
    <w:rsid w:val="001A460C"/>
    <w:rsid w:val="001A54F3"/>
    <w:rsid w:val="001A5597"/>
    <w:rsid w:val="001A57F8"/>
    <w:rsid w:val="001A585A"/>
    <w:rsid w:val="001A5CD8"/>
    <w:rsid w:val="001A5E7F"/>
    <w:rsid w:val="001A6173"/>
    <w:rsid w:val="001A6CBA"/>
    <w:rsid w:val="001B0728"/>
    <w:rsid w:val="001B0849"/>
    <w:rsid w:val="001B0D97"/>
    <w:rsid w:val="001B129B"/>
    <w:rsid w:val="001B19A5"/>
    <w:rsid w:val="001B2241"/>
    <w:rsid w:val="001B2EB0"/>
    <w:rsid w:val="001B39B6"/>
    <w:rsid w:val="001B5A5D"/>
    <w:rsid w:val="001B5D7B"/>
    <w:rsid w:val="001B6D03"/>
    <w:rsid w:val="001B7205"/>
    <w:rsid w:val="001B7745"/>
    <w:rsid w:val="001C027A"/>
    <w:rsid w:val="001C0779"/>
    <w:rsid w:val="001C1BCB"/>
    <w:rsid w:val="001C1CE5"/>
    <w:rsid w:val="001C3D2A"/>
    <w:rsid w:val="001C40C6"/>
    <w:rsid w:val="001C4E75"/>
    <w:rsid w:val="001C5B29"/>
    <w:rsid w:val="001C5D94"/>
    <w:rsid w:val="001C6F53"/>
    <w:rsid w:val="001C7660"/>
    <w:rsid w:val="001C7E98"/>
    <w:rsid w:val="001D0185"/>
    <w:rsid w:val="001D01B6"/>
    <w:rsid w:val="001D03EC"/>
    <w:rsid w:val="001D0A39"/>
    <w:rsid w:val="001D0AA5"/>
    <w:rsid w:val="001D1E31"/>
    <w:rsid w:val="001D26D8"/>
    <w:rsid w:val="001D3195"/>
    <w:rsid w:val="001D31FA"/>
    <w:rsid w:val="001D43A7"/>
    <w:rsid w:val="001D4656"/>
    <w:rsid w:val="001D51BA"/>
    <w:rsid w:val="001D52F5"/>
    <w:rsid w:val="001D53E7"/>
    <w:rsid w:val="001D5416"/>
    <w:rsid w:val="001D61AE"/>
    <w:rsid w:val="001D6342"/>
    <w:rsid w:val="001D6B10"/>
    <w:rsid w:val="001D6D53"/>
    <w:rsid w:val="001D6D9E"/>
    <w:rsid w:val="001D7314"/>
    <w:rsid w:val="001D7753"/>
    <w:rsid w:val="001D7B5A"/>
    <w:rsid w:val="001D7E5E"/>
    <w:rsid w:val="001E0153"/>
    <w:rsid w:val="001E02A3"/>
    <w:rsid w:val="001E0C76"/>
    <w:rsid w:val="001E1414"/>
    <w:rsid w:val="001E1D2D"/>
    <w:rsid w:val="001E2EDA"/>
    <w:rsid w:val="001E33B1"/>
    <w:rsid w:val="001E3E85"/>
    <w:rsid w:val="001E4916"/>
    <w:rsid w:val="001E4A0E"/>
    <w:rsid w:val="001E539A"/>
    <w:rsid w:val="001E55C1"/>
    <w:rsid w:val="001E575B"/>
    <w:rsid w:val="001E581A"/>
    <w:rsid w:val="001E58E2"/>
    <w:rsid w:val="001E5955"/>
    <w:rsid w:val="001E5A94"/>
    <w:rsid w:val="001E6C25"/>
    <w:rsid w:val="001E7AED"/>
    <w:rsid w:val="001F13D1"/>
    <w:rsid w:val="001F1CB5"/>
    <w:rsid w:val="001F3916"/>
    <w:rsid w:val="001F43CD"/>
    <w:rsid w:val="001F4EDB"/>
    <w:rsid w:val="001F4EEB"/>
    <w:rsid w:val="001F5197"/>
    <w:rsid w:val="001F5432"/>
    <w:rsid w:val="001F54C5"/>
    <w:rsid w:val="001F5F7B"/>
    <w:rsid w:val="001F662C"/>
    <w:rsid w:val="001F7074"/>
    <w:rsid w:val="001F724A"/>
    <w:rsid w:val="001F78AE"/>
    <w:rsid w:val="00200490"/>
    <w:rsid w:val="00200A16"/>
    <w:rsid w:val="00201C90"/>
    <w:rsid w:val="00201D25"/>
    <w:rsid w:val="00201E21"/>
    <w:rsid w:val="00201F3A"/>
    <w:rsid w:val="00202297"/>
    <w:rsid w:val="00203F96"/>
    <w:rsid w:val="00204359"/>
    <w:rsid w:val="00204490"/>
    <w:rsid w:val="00205476"/>
    <w:rsid w:val="00205E4B"/>
    <w:rsid w:val="00205EBC"/>
    <w:rsid w:val="00206257"/>
    <w:rsid w:val="002069B2"/>
    <w:rsid w:val="00206D7D"/>
    <w:rsid w:val="00207378"/>
    <w:rsid w:val="00207828"/>
    <w:rsid w:val="00207FA3"/>
    <w:rsid w:val="00207FC8"/>
    <w:rsid w:val="002104E5"/>
    <w:rsid w:val="002114BA"/>
    <w:rsid w:val="00211D95"/>
    <w:rsid w:val="002121C3"/>
    <w:rsid w:val="002124A6"/>
    <w:rsid w:val="00214015"/>
    <w:rsid w:val="0021410A"/>
    <w:rsid w:val="0021458D"/>
    <w:rsid w:val="00214DA8"/>
    <w:rsid w:val="00215423"/>
    <w:rsid w:val="00215874"/>
    <w:rsid w:val="002158FA"/>
    <w:rsid w:val="0021785C"/>
    <w:rsid w:val="00217BD9"/>
    <w:rsid w:val="00220600"/>
    <w:rsid w:val="00220EFF"/>
    <w:rsid w:val="0022185B"/>
    <w:rsid w:val="002218B2"/>
    <w:rsid w:val="00221F03"/>
    <w:rsid w:val="00221F0F"/>
    <w:rsid w:val="002224DB"/>
    <w:rsid w:val="00222705"/>
    <w:rsid w:val="002233D4"/>
    <w:rsid w:val="002237A2"/>
    <w:rsid w:val="0022391A"/>
    <w:rsid w:val="00223E72"/>
    <w:rsid w:val="00223FCB"/>
    <w:rsid w:val="00224157"/>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1E71"/>
    <w:rsid w:val="00233483"/>
    <w:rsid w:val="002342D5"/>
    <w:rsid w:val="00235632"/>
    <w:rsid w:val="00235872"/>
    <w:rsid w:val="00235C79"/>
    <w:rsid w:val="00236EED"/>
    <w:rsid w:val="00237045"/>
    <w:rsid w:val="0023739B"/>
    <w:rsid w:val="00237F81"/>
    <w:rsid w:val="00237FC2"/>
    <w:rsid w:val="00240A4B"/>
    <w:rsid w:val="00241343"/>
    <w:rsid w:val="00241559"/>
    <w:rsid w:val="00241EAD"/>
    <w:rsid w:val="002435B3"/>
    <w:rsid w:val="00243BBE"/>
    <w:rsid w:val="0024418C"/>
    <w:rsid w:val="002443B9"/>
    <w:rsid w:val="00244615"/>
    <w:rsid w:val="002446BA"/>
    <w:rsid w:val="002448D3"/>
    <w:rsid w:val="002449E2"/>
    <w:rsid w:val="00244F46"/>
    <w:rsid w:val="002458EB"/>
    <w:rsid w:val="0024610D"/>
    <w:rsid w:val="00246767"/>
    <w:rsid w:val="002470B7"/>
    <w:rsid w:val="002474C6"/>
    <w:rsid w:val="002475ED"/>
    <w:rsid w:val="002500C8"/>
    <w:rsid w:val="00250756"/>
    <w:rsid w:val="00251DD6"/>
    <w:rsid w:val="00252272"/>
    <w:rsid w:val="00252D8F"/>
    <w:rsid w:val="0025343E"/>
    <w:rsid w:val="00254049"/>
    <w:rsid w:val="002540B3"/>
    <w:rsid w:val="002548F3"/>
    <w:rsid w:val="0025526B"/>
    <w:rsid w:val="00255373"/>
    <w:rsid w:val="00255FB6"/>
    <w:rsid w:val="002562AA"/>
    <w:rsid w:val="002566C0"/>
    <w:rsid w:val="00257543"/>
    <w:rsid w:val="00261644"/>
    <w:rsid w:val="002617E7"/>
    <w:rsid w:val="00262F3B"/>
    <w:rsid w:val="00264228"/>
    <w:rsid w:val="00264334"/>
    <w:rsid w:val="0026456D"/>
    <w:rsid w:val="00264624"/>
    <w:rsid w:val="0026473E"/>
    <w:rsid w:val="00264A17"/>
    <w:rsid w:val="00264FCE"/>
    <w:rsid w:val="00266214"/>
    <w:rsid w:val="0026622B"/>
    <w:rsid w:val="0026632E"/>
    <w:rsid w:val="00267C83"/>
    <w:rsid w:val="0027042F"/>
    <w:rsid w:val="002705D4"/>
    <w:rsid w:val="00270667"/>
    <w:rsid w:val="0027144F"/>
    <w:rsid w:val="00271813"/>
    <w:rsid w:val="002719EF"/>
    <w:rsid w:val="00271F3A"/>
    <w:rsid w:val="00273278"/>
    <w:rsid w:val="002737F4"/>
    <w:rsid w:val="0027389F"/>
    <w:rsid w:val="00273BCF"/>
    <w:rsid w:val="002740CC"/>
    <w:rsid w:val="002740F8"/>
    <w:rsid w:val="00274DD9"/>
    <w:rsid w:val="00274F3E"/>
    <w:rsid w:val="0027501A"/>
    <w:rsid w:val="00275AE5"/>
    <w:rsid w:val="0027665D"/>
    <w:rsid w:val="00276AD9"/>
    <w:rsid w:val="00276B54"/>
    <w:rsid w:val="00277D7A"/>
    <w:rsid w:val="002805F5"/>
    <w:rsid w:val="00280751"/>
    <w:rsid w:val="00280E65"/>
    <w:rsid w:val="0028176E"/>
    <w:rsid w:val="002820C9"/>
    <w:rsid w:val="00282290"/>
    <w:rsid w:val="0028280A"/>
    <w:rsid w:val="002833A5"/>
    <w:rsid w:val="002853F1"/>
    <w:rsid w:val="00286ACD"/>
    <w:rsid w:val="00287838"/>
    <w:rsid w:val="00287846"/>
    <w:rsid w:val="00287F99"/>
    <w:rsid w:val="00290082"/>
    <w:rsid w:val="002907B5"/>
    <w:rsid w:val="00292E30"/>
    <w:rsid w:val="00292EB7"/>
    <w:rsid w:val="00293A4F"/>
    <w:rsid w:val="00293F64"/>
    <w:rsid w:val="00294A5E"/>
    <w:rsid w:val="00295F29"/>
    <w:rsid w:val="0029614F"/>
    <w:rsid w:val="00296227"/>
    <w:rsid w:val="002963B1"/>
    <w:rsid w:val="002965A5"/>
    <w:rsid w:val="00296A0B"/>
    <w:rsid w:val="00296F44"/>
    <w:rsid w:val="0029777D"/>
    <w:rsid w:val="0029798D"/>
    <w:rsid w:val="002A055E"/>
    <w:rsid w:val="002A0BF6"/>
    <w:rsid w:val="002A1C50"/>
    <w:rsid w:val="002A1D4E"/>
    <w:rsid w:val="002A2869"/>
    <w:rsid w:val="002A2B81"/>
    <w:rsid w:val="002A30EC"/>
    <w:rsid w:val="002A3850"/>
    <w:rsid w:val="002A4C2E"/>
    <w:rsid w:val="002A5FEC"/>
    <w:rsid w:val="002A62EC"/>
    <w:rsid w:val="002A6B39"/>
    <w:rsid w:val="002B0B20"/>
    <w:rsid w:val="002B24D6"/>
    <w:rsid w:val="002B2D9B"/>
    <w:rsid w:val="002B4A72"/>
    <w:rsid w:val="002B50E9"/>
    <w:rsid w:val="002B64BF"/>
    <w:rsid w:val="002B6A97"/>
    <w:rsid w:val="002B72D7"/>
    <w:rsid w:val="002B799E"/>
    <w:rsid w:val="002C06AD"/>
    <w:rsid w:val="002C0A44"/>
    <w:rsid w:val="002C0C04"/>
    <w:rsid w:val="002C1D76"/>
    <w:rsid w:val="002C25AB"/>
    <w:rsid w:val="002C2A74"/>
    <w:rsid w:val="002C3380"/>
    <w:rsid w:val="002C3388"/>
    <w:rsid w:val="002C34E8"/>
    <w:rsid w:val="002C41E6"/>
    <w:rsid w:val="002C5220"/>
    <w:rsid w:val="002C6641"/>
    <w:rsid w:val="002D071A"/>
    <w:rsid w:val="002D0ACB"/>
    <w:rsid w:val="002D1DF1"/>
    <w:rsid w:val="002D2537"/>
    <w:rsid w:val="002D27F2"/>
    <w:rsid w:val="002D34B2"/>
    <w:rsid w:val="002D38F1"/>
    <w:rsid w:val="002D3B4E"/>
    <w:rsid w:val="002D3BCA"/>
    <w:rsid w:val="002D4472"/>
    <w:rsid w:val="002D48B0"/>
    <w:rsid w:val="002D4B3C"/>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610"/>
    <w:rsid w:val="002E6945"/>
    <w:rsid w:val="002E6C7D"/>
    <w:rsid w:val="002E78FB"/>
    <w:rsid w:val="002E7AE2"/>
    <w:rsid w:val="002E7CAE"/>
    <w:rsid w:val="002F0301"/>
    <w:rsid w:val="002F184F"/>
    <w:rsid w:val="002F189E"/>
    <w:rsid w:val="002F2771"/>
    <w:rsid w:val="002F37A9"/>
    <w:rsid w:val="002F39A2"/>
    <w:rsid w:val="002F43BA"/>
    <w:rsid w:val="002F5006"/>
    <w:rsid w:val="002F61AB"/>
    <w:rsid w:val="002F67E3"/>
    <w:rsid w:val="002F6F28"/>
    <w:rsid w:val="003008C9"/>
    <w:rsid w:val="003009ED"/>
    <w:rsid w:val="00300FBE"/>
    <w:rsid w:val="00301CE6"/>
    <w:rsid w:val="00302342"/>
    <w:rsid w:val="0030256B"/>
    <w:rsid w:val="00302BF8"/>
    <w:rsid w:val="00302F26"/>
    <w:rsid w:val="00304F48"/>
    <w:rsid w:val="0030501F"/>
    <w:rsid w:val="00305AD1"/>
    <w:rsid w:val="00305BB0"/>
    <w:rsid w:val="003066A2"/>
    <w:rsid w:val="00306849"/>
    <w:rsid w:val="00306F3E"/>
    <w:rsid w:val="00307BA1"/>
    <w:rsid w:val="003103D6"/>
    <w:rsid w:val="00311702"/>
    <w:rsid w:val="00311902"/>
    <w:rsid w:val="00311E82"/>
    <w:rsid w:val="0031261D"/>
    <w:rsid w:val="003137F9"/>
    <w:rsid w:val="00313B85"/>
    <w:rsid w:val="00313FD6"/>
    <w:rsid w:val="003143BD"/>
    <w:rsid w:val="00315363"/>
    <w:rsid w:val="0031711C"/>
    <w:rsid w:val="003176B5"/>
    <w:rsid w:val="00317A2D"/>
    <w:rsid w:val="003203ED"/>
    <w:rsid w:val="0032100E"/>
    <w:rsid w:val="00321D97"/>
    <w:rsid w:val="00321ED3"/>
    <w:rsid w:val="00322A11"/>
    <w:rsid w:val="00322C9F"/>
    <w:rsid w:val="003237BE"/>
    <w:rsid w:val="00323967"/>
    <w:rsid w:val="00324D23"/>
    <w:rsid w:val="00324F06"/>
    <w:rsid w:val="003255DA"/>
    <w:rsid w:val="003263D2"/>
    <w:rsid w:val="0032667D"/>
    <w:rsid w:val="00326E36"/>
    <w:rsid w:val="0032731D"/>
    <w:rsid w:val="003273FF"/>
    <w:rsid w:val="00331751"/>
    <w:rsid w:val="00331A4C"/>
    <w:rsid w:val="00331A71"/>
    <w:rsid w:val="00331F85"/>
    <w:rsid w:val="003324D6"/>
    <w:rsid w:val="003327ED"/>
    <w:rsid w:val="0033426E"/>
    <w:rsid w:val="00334579"/>
    <w:rsid w:val="00334898"/>
    <w:rsid w:val="00334D5A"/>
    <w:rsid w:val="00335541"/>
    <w:rsid w:val="00335614"/>
    <w:rsid w:val="00335858"/>
    <w:rsid w:val="0033588E"/>
    <w:rsid w:val="0033594C"/>
    <w:rsid w:val="003362FA"/>
    <w:rsid w:val="00336BDA"/>
    <w:rsid w:val="00337D29"/>
    <w:rsid w:val="003412BA"/>
    <w:rsid w:val="003416FF"/>
    <w:rsid w:val="003419E1"/>
    <w:rsid w:val="00341E8E"/>
    <w:rsid w:val="003423EA"/>
    <w:rsid w:val="0034294A"/>
    <w:rsid w:val="003429D4"/>
    <w:rsid w:val="00342BD7"/>
    <w:rsid w:val="00342DF9"/>
    <w:rsid w:val="003434F8"/>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447"/>
    <w:rsid w:val="00353F49"/>
    <w:rsid w:val="00357293"/>
    <w:rsid w:val="00357380"/>
    <w:rsid w:val="003602D9"/>
    <w:rsid w:val="003604CE"/>
    <w:rsid w:val="00360543"/>
    <w:rsid w:val="00360DFA"/>
    <w:rsid w:val="00361A3A"/>
    <w:rsid w:val="003622AB"/>
    <w:rsid w:val="00366750"/>
    <w:rsid w:val="00370360"/>
    <w:rsid w:val="00370E1C"/>
    <w:rsid w:val="00370E47"/>
    <w:rsid w:val="003716E8"/>
    <w:rsid w:val="00371AF3"/>
    <w:rsid w:val="00372D82"/>
    <w:rsid w:val="00372E09"/>
    <w:rsid w:val="00372E99"/>
    <w:rsid w:val="003730A5"/>
    <w:rsid w:val="00373A77"/>
    <w:rsid w:val="003742AC"/>
    <w:rsid w:val="00374323"/>
    <w:rsid w:val="00374379"/>
    <w:rsid w:val="003747C8"/>
    <w:rsid w:val="00375248"/>
    <w:rsid w:val="003759A6"/>
    <w:rsid w:val="003763A4"/>
    <w:rsid w:val="003776B9"/>
    <w:rsid w:val="00377CE1"/>
    <w:rsid w:val="0038189B"/>
    <w:rsid w:val="00382257"/>
    <w:rsid w:val="00383093"/>
    <w:rsid w:val="00383105"/>
    <w:rsid w:val="00383E08"/>
    <w:rsid w:val="0038502C"/>
    <w:rsid w:val="00385BF0"/>
    <w:rsid w:val="00386140"/>
    <w:rsid w:val="00386181"/>
    <w:rsid w:val="00386A13"/>
    <w:rsid w:val="00387FB8"/>
    <w:rsid w:val="00390E1E"/>
    <w:rsid w:val="00391C3D"/>
    <w:rsid w:val="00392E74"/>
    <w:rsid w:val="0039387A"/>
    <w:rsid w:val="003939FF"/>
    <w:rsid w:val="00394248"/>
    <w:rsid w:val="00394DF0"/>
    <w:rsid w:val="00395454"/>
    <w:rsid w:val="00395A35"/>
    <w:rsid w:val="003965F0"/>
    <w:rsid w:val="00397924"/>
    <w:rsid w:val="00397C26"/>
    <w:rsid w:val="00397F57"/>
    <w:rsid w:val="003A0541"/>
    <w:rsid w:val="003A0BE1"/>
    <w:rsid w:val="003A16C5"/>
    <w:rsid w:val="003A2223"/>
    <w:rsid w:val="003A22AC"/>
    <w:rsid w:val="003A2A0F"/>
    <w:rsid w:val="003A45A1"/>
    <w:rsid w:val="003A5B0A"/>
    <w:rsid w:val="003A5C19"/>
    <w:rsid w:val="003A60E9"/>
    <w:rsid w:val="003A63E1"/>
    <w:rsid w:val="003A6BAC"/>
    <w:rsid w:val="003A6E52"/>
    <w:rsid w:val="003A70A4"/>
    <w:rsid w:val="003A747B"/>
    <w:rsid w:val="003A7EF3"/>
    <w:rsid w:val="003B03C6"/>
    <w:rsid w:val="003B0BC2"/>
    <w:rsid w:val="003B0F5F"/>
    <w:rsid w:val="003B159C"/>
    <w:rsid w:val="003B2113"/>
    <w:rsid w:val="003B2B3A"/>
    <w:rsid w:val="003B369F"/>
    <w:rsid w:val="003B36A3"/>
    <w:rsid w:val="003B36B7"/>
    <w:rsid w:val="003B3AE4"/>
    <w:rsid w:val="003B418D"/>
    <w:rsid w:val="003B43B5"/>
    <w:rsid w:val="003B4D78"/>
    <w:rsid w:val="003B4E4B"/>
    <w:rsid w:val="003B612B"/>
    <w:rsid w:val="003B62C2"/>
    <w:rsid w:val="003B64BB"/>
    <w:rsid w:val="003B654D"/>
    <w:rsid w:val="003B6CEF"/>
    <w:rsid w:val="003B72A7"/>
    <w:rsid w:val="003B7FE5"/>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567"/>
    <w:rsid w:val="003D0C9F"/>
    <w:rsid w:val="003D1000"/>
    <w:rsid w:val="003D109F"/>
    <w:rsid w:val="003D1450"/>
    <w:rsid w:val="003D18A6"/>
    <w:rsid w:val="003D2478"/>
    <w:rsid w:val="003D284E"/>
    <w:rsid w:val="003D2A2D"/>
    <w:rsid w:val="003D383E"/>
    <w:rsid w:val="003D3B2C"/>
    <w:rsid w:val="003D3C45"/>
    <w:rsid w:val="003D483A"/>
    <w:rsid w:val="003D500F"/>
    <w:rsid w:val="003D5B1F"/>
    <w:rsid w:val="003D6603"/>
    <w:rsid w:val="003D6C05"/>
    <w:rsid w:val="003E15FA"/>
    <w:rsid w:val="003E2A90"/>
    <w:rsid w:val="003E32E3"/>
    <w:rsid w:val="003E55E4"/>
    <w:rsid w:val="003E607A"/>
    <w:rsid w:val="003E60BD"/>
    <w:rsid w:val="003E61B9"/>
    <w:rsid w:val="003E73BC"/>
    <w:rsid w:val="003E74E3"/>
    <w:rsid w:val="003E7925"/>
    <w:rsid w:val="003E7E34"/>
    <w:rsid w:val="003F052D"/>
    <w:rsid w:val="003F05C7"/>
    <w:rsid w:val="003F0CB1"/>
    <w:rsid w:val="003F10AA"/>
    <w:rsid w:val="003F13B4"/>
    <w:rsid w:val="003F18CE"/>
    <w:rsid w:val="003F2443"/>
    <w:rsid w:val="003F263B"/>
    <w:rsid w:val="003F2CD4"/>
    <w:rsid w:val="003F2DE6"/>
    <w:rsid w:val="003F33C0"/>
    <w:rsid w:val="003F3687"/>
    <w:rsid w:val="003F3A02"/>
    <w:rsid w:val="003F4155"/>
    <w:rsid w:val="003F4946"/>
    <w:rsid w:val="003F4DD9"/>
    <w:rsid w:val="003F59D3"/>
    <w:rsid w:val="003F6662"/>
    <w:rsid w:val="003F6839"/>
    <w:rsid w:val="003F68C2"/>
    <w:rsid w:val="003F69EB"/>
    <w:rsid w:val="003F6BBE"/>
    <w:rsid w:val="003F7B74"/>
    <w:rsid w:val="003F7DD7"/>
    <w:rsid w:val="004000E8"/>
    <w:rsid w:val="004006DB"/>
    <w:rsid w:val="004010E9"/>
    <w:rsid w:val="0040152E"/>
    <w:rsid w:val="004026D9"/>
    <w:rsid w:val="00402A72"/>
    <w:rsid w:val="00402E2B"/>
    <w:rsid w:val="0040392A"/>
    <w:rsid w:val="00403B06"/>
    <w:rsid w:val="004041D8"/>
    <w:rsid w:val="00405022"/>
    <w:rsid w:val="0040512B"/>
    <w:rsid w:val="004052E5"/>
    <w:rsid w:val="0040541D"/>
    <w:rsid w:val="00405B53"/>
    <w:rsid w:val="00405CA5"/>
    <w:rsid w:val="00406C91"/>
    <w:rsid w:val="00406D3D"/>
    <w:rsid w:val="00407A70"/>
    <w:rsid w:val="00407CD3"/>
    <w:rsid w:val="00410134"/>
    <w:rsid w:val="004103E6"/>
    <w:rsid w:val="00410504"/>
    <w:rsid w:val="00410B72"/>
    <w:rsid w:val="00410F18"/>
    <w:rsid w:val="00411A57"/>
    <w:rsid w:val="00411C39"/>
    <w:rsid w:val="00411E38"/>
    <w:rsid w:val="00411E65"/>
    <w:rsid w:val="0041263E"/>
    <w:rsid w:val="00412FAD"/>
    <w:rsid w:val="00413AAC"/>
    <w:rsid w:val="00413E92"/>
    <w:rsid w:val="0041505B"/>
    <w:rsid w:val="0041538A"/>
    <w:rsid w:val="004157BA"/>
    <w:rsid w:val="004172C7"/>
    <w:rsid w:val="00417879"/>
    <w:rsid w:val="00417BCB"/>
    <w:rsid w:val="0042077B"/>
    <w:rsid w:val="00420DD8"/>
    <w:rsid w:val="00421105"/>
    <w:rsid w:val="004229E8"/>
    <w:rsid w:val="00422AA4"/>
    <w:rsid w:val="00422DB6"/>
    <w:rsid w:val="00423192"/>
    <w:rsid w:val="00423581"/>
    <w:rsid w:val="004242F4"/>
    <w:rsid w:val="00425FBA"/>
    <w:rsid w:val="004261FF"/>
    <w:rsid w:val="004265EE"/>
    <w:rsid w:val="00426746"/>
    <w:rsid w:val="00426A57"/>
    <w:rsid w:val="00427248"/>
    <w:rsid w:val="004306E4"/>
    <w:rsid w:val="00430869"/>
    <w:rsid w:val="004321E1"/>
    <w:rsid w:val="004323FC"/>
    <w:rsid w:val="00432DDF"/>
    <w:rsid w:val="004335FF"/>
    <w:rsid w:val="00433ACC"/>
    <w:rsid w:val="0043491F"/>
    <w:rsid w:val="00434928"/>
    <w:rsid w:val="00434A81"/>
    <w:rsid w:val="00435AC4"/>
    <w:rsid w:val="00436258"/>
    <w:rsid w:val="00437447"/>
    <w:rsid w:val="00437C84"/>
    <w:rsid w:val="00441A92"/>
    <w:rsid w:val="004431DC"/>
    <w:rsid w:val="00443234"/>
    <w:rsid w:val="0044325A"/>
    <w:rsid w:val="004434AB"/>
    <w:rsid w:val="0044399A"/>
    <w:rsid w:val="00444F56"/>
    <w:rsid w:val="00444FCD"/>
    <w:rsid w:val="004450D7"/>
    <w:rsid w:val="00445E95"/>
    <w:rsid w:val="00446488"/>
    <w:rsid w:val="0044660D"/>
    <w:rsid w:val="00450BD8"/>
    <w:rsid w:val="00450FC3"/>
    <w:rsid w:val="00451586"/>
    <w:rsid w:val="004517AA"/>
    <w:rsid w:val="00452495"/>
    <w:rsid w:val="00452CAC"/>
    <w:rsid w:val="00452E3D"/>
    <w:rsid w:val="00454C57"/>
    <w:rsid w:val="004559A1"/>
    <w:rsid w:val="00455D57"/>
    <w:rsid w:val="00456786"/>
    <w:rsid w:val="004574C4"/>
    <w:rsid w:val="00457565"/>
    <w:rsid w:val="00457B71"/>
    <w:rsid w:val="00457D20"/>
    <w:rsid w:val="004600E4"/>
    <w:rsid w:val="00460EA0"/>
    <w:rsid w:val="00461142"/>
    <w:rsid w:val="00461D94"/>
    <w:rsid w:val="00462E6D"/>
    <w:rsid w:val="00463957"/>
    <w:rsid w:val="00463FB0"/>
    <w:rsid w:val="00465BD3"/>
    <w:rsid w:val="00466112"/>
    <w:rsid w:val="004662E0"/>
    <w:rsid w:val="00466577"/>
    <w:rsid w:val="004669E2"/>
    <w:rsid w:val="00466AB3"/>
    <w:rsid w:val="00466E62"/>
    <w:rsid w:val="004678AE"/>
    <w:rsid w:val="00467926"/>
    <w:rsid w:val="00470036"/>
    <w:rsid w:val="004704C2"/>
    <w:rsid w:val="00470C31"/>
    <w:rsid w:val="00471DE0"/>
    <w:rsid w:val="00472777"/>
    <w:rsid w:val="00472B24"/>
    <w:rsid w:val="00472E4A"/>
    <w:rsid w:val="004734D0"/>
    <w:rsid w:val="0047556B"/>
    <w:rsid w:val="004759BE"/>
    <w:rsid w:val="00475AB1"/>
    <w:rsid w:val="004762D0"/>
    <w:rsid w:val="00477016"/>
    <w:rsid w:val="00477534"/>
    <w:rsid w:val="00477768"/>
    <w:rsid w:val="00483FDA"/>
    <w:rsid w:val="00484B0F"/>
    <w:rsid w:val="00484C4E"/>
    <w:rsid w:val="00484CBE"/>
    <w:rsid w:val="00484FF9"/>
    <w:rsid w:val="004850DB"/>
    <w:rsid w:val="0048582B"/>
    <w:rsid w:val="0048735A"/>
    <w:rsid w:val="0048758E"/>
    <w:rsid w:val="004900DB"/>
    <w:rsid w:val="00490F7D"/>
    <w:rsid w:val="00492BC5"/>
    <w:rsid w:val="0049397C"/>
    <w:rsid w:val="00495685"/>
    <w:rsid w:val="004963AE"/>
    <w:rsid w:val="004964F1"/>
    <w:rsid w:val="00497681"/>
    <w:rsid w:val="00497E12"/>
    <w:rsid w:val="004A0190"/>
    <w:rsid w:val="004A0B6B"/>
    <w:rsid w:val="004A0F92"/>
    <w:rsid w:val="004A16BC"/>
    <w:rsid w:val="004A2476"/>
    <w:rsid w:val="004A2B94"/>
    <w:rsid w:val="004A3164"/>
    <w:rsid w:val="004A3210"/>
    <w:rsid w:val="004A3B26"/>
    <w:rsid w:val="004A4332"/>
    <w:rsid w:val="004A4651"/>
    <w:rsid w:val="004A5638"/>
    <w:rsid w:val="004A5CFA"/>
    <w:rsid w:val="004A6BC3"/>
    <w:rsid w:val="004B0528"/>
    <w:rsid w:val="004B1B24"/>
    <w:rsid w:val="004B3205"/>
    <w:rsid w:val="004B3554"/>
    <w:rsid w:val="004B40D7"/>
    <w:rsid w:val="004B4904"/>
    <w:rsid w:val="004B49A7"/>
    <w:rsid w:val="004B4D5C"/>
    <w:rsid w:val="004B5041"/>
    <w:rsid w:val="004B610F"/>
    <w:rsid w:val="004B6A74"/>
    <w:rsid w:val="004B6DFD"/>
    <w:rsid w:val="004B6F6A"/>
    <w:rsid w:val="004B7C0C"/>
    <w:rsid w:val="004C00D5"/>
    <w:rsid w:val="004C186A"/>
    <w:rsid w:val="004C224A"/>
    <w:rsid w:val="004C2755"/>
    <w:rsid w:val="004C35E3"/>
    <w:rsid w:val="004C3806"/>
    <w:rsid w:val="004C3898"/>
    <w:rsid w:val="004C3C02"/>
    <w:rsid w:val="004C3C5C"/>
    <w:rsid w:val="004C3C6F"/>
    <w:rsid w:val="004C6B23"/>
    <w:rsid w:val="004C71D5"/>
    <w:rsid w:val="004C7252"/>
    <w:rsid w:val="004D020D"/>
    <w:rsid w:val="004D0A70"/>
    <w:rsid w:val="004D20E7"/>
    <w:rsid w:val="004D2965"/>
    <w:rsid w:val="004D36B1"/>
    <w:rsid w:val="004D3BAD"/>
    <w:rsid w:val="004D41C1"/>
    <w:rsid w:val="004D6773"/>
    <w:rsid w:val="004D7762"/>
    <w:rsid w:val="004D7BE0"/>
    <w:rsid w:val="004D7EBD"/>
    <w:rsid w:val="004E2680"/>
    <w:rsid w:val="004E28F9"/>
    <w:rsid w:val="004E2FFB"/>
    <w:rsid w:val="004E4487"/>
    <w:rsid w:val="004E462E"/>
    <w:rsid w:val="004E5108"/>
    <w:rsid w:val="004E5593"/>
    <w:rsid w:val="004E56DC"/>
    <w:rsid w:val="004E60CC"/>
    <w:rsid w:val="004E6181"/>
    <w:rsid w:val="004E6556"/>
    <w:rsid w:val="004E76F4"/>
    <w:rsid w:val="004E799D"/>
    <w:rsid w:val="004E7A83"/>
    <w:rsid w:val="004F0210"/>
    <w:rsid w:val="004F0269"/>
    <w:rsid w:val="004F087A"/>
    <w:rsid w:val="004F0B4E"/>
    <w:rsid w:val="004F0B6C"/>
    <w:rsid w:val="004F1037"/>
    <w:rsid w:val="004F149C"/>
    <w:rsid w:val="004F18A9"/>
    <w:rsid w:val="004F1E1D"/>
    <w:rsid w:val="004F2078"/>
    <w:rsid w:val="004F25BF"/>
    <w:rsid w:val="004F3AA4"/>
    <w:rsid w:val="004F49AF"/>
    <w:rsid w:val="004F4DA3"/>
    <w:rsid w:val="004F6827"/>
    <w:rsid w:val="004F7343"/>
    <w:rsid w:val="004F7543"/>
    <w:rsid w:val="005002AA"/>
    <w:rsid w:val="005003C6"/>
    <w:rsid w:val="00501993"/>
    <w:rsid w:val="00502710"/>
    <w:rsid w:val="00502B4C"/>
    <w:rsid w:val="00502FD4"/>
    <w:rsid w:val="005037BE"/>
    <w:rsid w:val="005041C9"/>
    <w:rsid w:val="005058F8"/>
    <w:rsid w:val="00506184"/>
    <w:rsid w:val="005062A6"/>
    <w:rsid w:val="00506557"/>
    <w:rsid w:val="0050677A"/>
    <w:rsid w:val="0050700A"/>
    <w:rsid w:val="00507851"/>
    <w:rsid w:val="00507B2E"/>
    <w:rsid w:val="005108D8"/>
    <w:rsid w:val="00510B9C"/>
    <w:rsid w:val="00511360"/>
    <w:rsid w:val="005116F9"/>
    <w:rsid w:val="00512AD5"/>
    <w:rsid w:val="00512F31"/>
    <w:rsid w:val="005147AA"/>
    <w:rsid w:val="005153A7"/>
    <w:rsid w:val="00515613"/>
    <w:rsid w:val="00517038"/>
    <w:rsid w:val="005173E6"/>
    <w:rsid w:val="00517536"/>
    <w:rsid w:val="00517D02"/>
    <w:rsid w:val="00520A7E"/>
    <w:rsid w:val="00521699"/>
    <w:rsid w:val="005219CF"/>
    <w:rsid w:val="00521E2B"/>
    <w:rsid w:val="00524471"/>
    <w:rsid w:val="00524849"/>
    <w:rsid w:val="00524939"/>
    <w:rsid w:val="00526671"/>
    <w:rsid w:val="00526A25"/>
    <w:rsid w:val="00526E59"/>
    <w:rsid w:val="0052724D"/>
    <w:rsid w:val="0052760F"/>
    <w:rsid w:val="00527F7B"/>
    <w:rsid w:val="00530441"/>
    <w:rsid w:val="005312CE"/>
    <w:rsid w:val="005313D7"/>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37D72"/>
    <w:rsid w:val="00540D6C"/>
    <w:rsid w:val="00541414"/>
    <w:rsid w:val="005418DB"/>
    <w:rsid w:val="00541A2A"/>
    <w:rsid w:val="00541DD2"/>
    <w:rsid w:val="00541F81"/>
    <w:rsid w:val="0054219C"/>
    <w:rsid w:val="005427B9"/>
    <w:rsid w:val="005432F3"/>
    <w:rsid w:val="005442D0"/>
    <w:rsid w:val="00545202"/>
    <w:rsid w:val="0054525A"/>
    <w:rsid w:val="005455A1"/>
    <w:rsid w:val="005457F8"/>
    <w:rsid w:val="00545999"/>
    <w:rsid w:val="005464A4"/>
    <w:rsid w:val="00546970"/>
    <w:rsid w:val="005469E4"/>
    <w:rsid w:val="005503B9"/>
    <w:rsid w:val="005523B8"/>
    <w:rsid w:val="00552C75"/>
    <w:rsid w:val="00554219"/>
    <w:rsid w:val="00554448"/>
    <w:rsid w:val="005544F7"/>
    <w:rsid w:val="00554E19"/>
    <w:rsid w:val="005553AD"/>
    <w:rsid w:val="0055657D"/>
    <w:rsid w:val="00556E8A"/>
    <w:rsid w:val="0056121F"/>
    <w:rsid w:val="00561B23"/>
    <w:rsid w:val="00561F8B"/>
    <w:rsid w:val="00562155"/>
    <w:rsid w:val="00564356"/>
    <w:rsid w:val="00564DE5"/>
    <w:rsid w:val="00564EC5"/>
    <w:rsid w:val="00566195"/>
    <w:rsid w:val="00567C01"/>
    <w:rsid w:val="005709D0"/>
    <w:rsid w:val="00571CA4"/>
    <w:rsid w:val="00571DBB"/>
    <w:rsid w:val="0057201A"/>
    <w:rsid w:val="00572457"/>
    <w:rsid w:val="00572505"/>
    <w:rsid w:val="005730C3"/>
    <w:rsid w:val="00573C68"/>
    <w:rsid w:val="00573E85"/>
    <w:rsid w:val="00574791"/>
    <w:rsid w:val="0057578F"/>
    <w:rsid w:val="00575DA9"/>
    <w:rsid w:val="005762D7"/>
    <w:rsid w:val="00576589"/>
    <w:rsid w:val="00580D48"/>
    <w:rsid w:val="005821D7"/>
    <w:rsid w:val="00582809"/>
    <w:rsid w:val="00582C6D"/>
    <w:rsid w:val="00583A10"/>
    <w:rsid w:val="005842B5"/>
    <w:rsid w:val="00584AA3"/>
    <w:rsid w:val="00586051"/>
    <w:rsid w:val="00586E16"/>
    <w:rsid w:val="00587874"/>
    <w:rsid w:val="0058798C"/>
    <w:rsid w:val="00587BD2"/>
    <w:rsid w:val="00587CF3"/>
    <w:rsid w:val="005900FA"/>
    <w:rsid w:val="005904F2"/>
    <w:rsid w:val="005919A6"/>
    <w:rsid w:val="005923F7"/>
    <w:rsid w:val="00592BBD"/>
    <w:rsid w:val="005935A4"/>
    <w:rsid w:val="005948C2"/>
    <w:rsid w:val="00594B10"/>
    <w:rsid w:val="00594B5F"/>
    <w:rsid w:val="00595DCA"/>
    <w:rsid w:val="00596010"/>
    <w:rsid w:val="0059705B"/>
    <w:rsid w:val="0059779B"/>
    <w:rsid w:val="005A02C4"/>
    <w:rsid w:val="005A0FF9"/>
    <w:rsid w:val="005A209A"/>
    <w:rsid w:val="005A2378"/>
    <w:rsid w:val="005A2C84"/>
    <w:rsid w:val="005A32F7"/>
    <w:rsid w:val="005A40D9"/>
    <w:rsid w:val="005A4460"/>
    <w:rsid w:val="005A4C5A"/>
    <w:rsid w:val="005A53A6"/>
    <w:rsid w:val="005A5E82"/>
    <w:rsid w:val="005A5EDA"/>
    <w:rsid w:val="005A662D"/>
    <w:rsid w:val="005A6AAA"/>
    <w:rsid w:val="005A6CFA"/>
    <w:rsid w:val="005A7BF9"/>
    <w:rsid w:val="005B0F60"/>
    <w:rsid w:val="005B1409"/>
    <w:rsid w:val="005B1F66"/>
    <w:rsid w:val="005B287A"/>
    <w:rsid w:val="005B35D7"/>
    <w:rsid w:val="005B392A"/>
    <w:rsid w:val="005B3AA3"/>
    <w:rsid w:val="005B3E67"/>
    <w:rsid w:val="005B51D0"/>
    <w:rsid w:val="005B5E3E"/>
    <w:rsid w:val="005B60D7"/>
    <w:rsid w:val="005B666D"/>
    <w:rsid w:val="005B6B1E"/>
    <w:rsid w:val="005B6F83"/>
    <w:rsid w:val="005B7823"/>
    <w:rsid w:val="005B7AF0"/>
    <w:rsid w:val="005B7E8D"/>
    <w:rsid w:val="005C1FB0"/>
    <w:rsid w:val="005C3BA2"/>
    <w:rsid w:val="005C3D76"/>
    <w:rsid w:val="005C4446"/>
    <w:rsid w:val="005C4757"/>
    <w:rsid w:val="005C6E2F"/>
    <w:rsid w:val="005C74FB"/>
    <w:rsid w:val="005C7515"/>
    <w:rsid w:val="005C79A8"/>
    <w:rsid w:val="005D1602"/>
    <w:rsid w:val="005D1C40"/>
    <w:rsid w:val="005D239E"/>
    <w:rsid w:val="005D429C"/>
    <w:rsid w:val="005D4347"/>
    <w:rsid w:val="005D4DB6"/>
    <w:rsid w:val="005D675B"/>
    <w:rsid w:val="005D72FE"/>
    <w:rsid w:val="005D769D"/>
    <w:rsid w:val="005E11EA"/>
    <w:rsid w:val="005E1ED5"/>
    <w:rsid w:val="005E240D"/>
    <w:rsid w:val="005E257A"/>
    <w:rsid w:val="005E385F"/>
    <w:rsid w:val="005E3C48"/>
    <w:rsid w:val="005E5467"/>
    <w:rsid w:val="005E55B2"/>
    <w:rsid w:val="005E57CB"/>
    <w:rsid w:val="005E5B81"/>
    <w:rsid w:val="005E62BA"/>
    <w:rsid w:val="005E653B"/>
    <w:rsid w:val="005E682E"/>
    <w:rsid w:val="005E7051"/>
    <w:rsid w:val="005E7468"/>
    <w:rsid w:val="005E78AD"/>
    <w:rsid w:val="005F11FE"/>
    <w:rsid w:val="005F2B29"/>
    <w:rsid w:val="005F2CB1"/>
    <w:rsid w:val="005F2DDC"/>
    <w:rsid w:val="005F2F4A"/>
    <w:rsid w:val="005F3025"/>
    <w:rsid w:val="005F3C77"/>
    <w:rsid w:val="005F518E"/>
    <w:rsid w:val="005F618C"/>
    <w:rsid w:val="005F632C"/>
    <w:rsid w:val="005F6C3C"/>
    <w:rsid w:val="005F70BD"/>
    <w:rsid w:val="005F717F"/>
    <w:rsid w:val="005F7FDA"/>
    <w:rsid w:val="0060128D"/>
    <w:rsid w:val="00601520"/>
    <w:rsid w:val="006022AE"/>
    <w:rsid w:val="0060283C"/>
    <w:rsid w:val="0060313F"/>
    <w:rsid w:val="00603C25"/>
    <w:rsid w:val="00604F14"/>
    <w:rsid w:val="0060502B"/>
    <w:rsid w:val="00606422"/>
    <w:rsid w:val="006067BD"/>
    <w:rsid w:val="00606E78"/>
    <w:rsid w:val="00607E14"/>
    <w:rsid w:val="00610CE3"/>
    <w:rsid w:val="006113DC"/>
    <w:rsid w:val="00611B83"/>
    <w:rsid w:val="00613257"/>
    <w:rsid w:val="0061404D"/>
    <w:rsid w:val="0061438F"/>
    <w:rsid w:val="006148BB"/>
    <w:rsid w:val="00614E32"/>
    <w:rsid w:val="00615001"/>
    <w:rsid w:val="00616BBC"/>
    <w:rsid w:val="00617980"/>
    <w:rsid w:val="00617F1D"/>
    <w:rsid w:val="006207CF"/>
    <w:rsid w:val="006209E0"/>
    <w:rsid w:val="00620A71"/>
    <w:rsid w:val="00620D80"/>
    <w:rsid w:val="006210F7"/>
    <w:rsid w:val="00621444"/>
    <w:rsid w:val="00622775"/>
    <w:rsid w:val="00622C27"/>
    <w:rsid w:val="00622EF4"/>
    <w:rsid w:val="00622F12"/>
    <w:rsid w:val="006234A6"/>
    <w:rsid w:val="006235DF"/>
    <w:rsid w:val="00623C77"/>
    <w:rsid w:val="00623D1B"/>
    <w:rsid w:val="006242F0"/>
    <w:rsid w:val="00624A18"/>
    <w:rsid w:val="00624A69"/>
    <w:rsid w:val="006264EF"/>
    <w:rsid w:val="00630001"/>
    <w:rsid w:val="00630CDF"/>
    <w:rsid w:val="006311B3"/>
    <w:rsid w:val="00631372"/>
    <w:rsid w:val="0063141A"/>
    <w:rsid w:val="006318CD"/>
    <w:rsid w:val="00631918"/>
    <w:rsid w:val="00631DB1"/>
    <w:rsid w:val="0063284C"/>
    <w:rsid w:val="00632DD6"/>
    <w:rsid w:val="00632E5A"/>
    <w:rsid w:val="006346CA"/>
    <w:rsid w:val="00634D63"/>
    <w:rsid w:val="00634D7E"/>
    <w:rsid w:val="00635F58"/>
    <w:rsid w:val="00636183"/>
    <w:rsid w:val="00636398"/>
    <w:rsid w:val="006368D3"/>
    <w:rsid w:val="00636BE0"/>
    <w:rsid w:val="006377EC"/>
    <w:rsid w:val="00637C8D"/>
    <w:rsid w:val="006414C8"/>
    <w:rsid w:val="0064151F"/>
    <w:rsid w:val="00641533"/>
    <w:rsid w:val="006416AB"/>
    <w:rsid w:val="006417CB"/>
    <w:rsid w:val="0064208D"/>
    <w:rsid w:val="00642AE8"/>
    <w:rsid w:val="00642C5A"/>
    <w:rsid w:val="00643475"/>
    <w:rsid w:val="006435B6"/>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5F99"/>
    <w:rsid w:val="00656779"/>
    <w:rsid w:val="00656A92"/>
    <w:rsid w:val="00656DDE"/>
    <w:rsid w:val="0065775C"/>
    <w:rsid w:val="00657AD3"/>
    <w:rsid w:val="0066011D"/>
    <w:rsid w:val="006607C0"/>
    <w:rsid w:val="00660FE7"/>
    <w:rsid w:val="006613A6"/>
    <w:rsid w:val="006622FB"/>
    <w:rsid w:val="006627A2"/>
    <w:rsid w:val="006627D5"/>
    <w:rsid w:val="006634E6"/>
    <w:rsid w:val="00664BDA"/>
    <w:rsid w:val="006655EE"/>
    <w:rsid w:val="006656B8"/>
    <w:rsid w:val="00665C42"/>
    <w:rsid w:val="00665DA6"/>
    <w:rsid w:val="00665DF4"/>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24E"/>
    <w:rsid w:val="006809F1"/>
    <w:rsid w:val="00681003"/>
    <w:rsid w:val="006817C9"/>
    <w:rsid w:val="0068320A"/>
    <w:rsid w:val="00683393"/>
    <w:rsid w:val="0068368C"/>
    <w:rsid w:val="00683A64"/>
    <w:rsid w:val="00683ECE"/>
    <w:rsid w:val="00684B4D"/>
    <w:rsid w:val="00684D72"/>
    <w:rsid w:val="00685F0C"/>
    <w:rsid w:val="006866A3"/>
    <w:rsid w:val="006868B0"/>
    <w:rsid w:val="006874FA"/>
    <w:rsid w:val="006911CB"/>
    <w:rsid w:val="00691726"/>
    <w:rsid w:val="006920F8"/>
    <w:rsid w:val="00692C6C"/>
    <w:rsid w:val="00692CCA"/>
    <w:rsid w:val="00693540"/>
    <w:rsid w:val="00693DF9"/>
    <w:rsid w:val="00694F16"/>
    <w:rsid w:val="00695622"/>
    <w:rsid w:val="00695FC2"/>
    <w:rsid w:val="00696229"/>
    <w:rsid w:val="00696470"/>
    <w:rsid w:val="00696949"/>
    <w:rsid w:val="00697052"/>
    <w:rsid w:val="00697E21"/>
    <w:rsid w:val="006A1589"/>
    <w:rsid w:val="006A2A05"/>
    <w:rsid w:val="006A30BE"/>
    <w:rsid w:val="006A4528"/>
    <w:rsid w:val="006A46FB"/>
    <w:rsid w:val="006A5537"/>
    <w:rsid w:val="006A5E28"/>
    <w:rsid w:val="006A5E63"/>
    <w:rsid w:val="006A697B"/>
    <w:rsid w:val="006A6BD7"/>
    <w:rsid w:val="006A6C91"/>
    <w:rsid w:val="006A7AFF"/>
    <w:rsid w:val="006A7BB0"/>
    <w:rsid w:val="006A7E68"/>
    <w:rsid w:val="006B1816"/>
    <w:rsid w:val="006B2099"/>
    <w:rsid w:val="006B2ECA"/>
    <w:rsid w:val="006B3C8D"/>
    <w:rsid w:val="006B3D11"/>
    <w:rsid w:val="006B50CF"/>
    <w:rsid w:val="006B5E50"/>
    <w:rsid w:val="006B6153"/>
    <w:rsid w:val="006B7832"/>
    <w:rsid w:val="006B7B61"/>
    <w:rsid w:val="006C03B8"/>
    <w:rsid w:val="006C085E"/>
    <w:rsid w:val="006C0AC7"/>
    <w:rsid w:val="006C14B4"/>
    <w:rsid w:val="006C1F9E"/>
    <w:rsid w:val="006C26F8"/>
    <w:rsid w:val="006C3089"/>
    <w:rsid w:val="006C30FD"/>
    <w:rsid w:val="006C3311"/>
    <w:rsid w:val="006C343C"/>
    <w:rsid w:val="006C3B79"/>
    <w:rsid w:val="006C3F47"/>
    <w:rsid w:val="006C5EC9"/>
    <w:rsid w:val="006C6059"/>
    <w:rsid w:val="006C68A3"/>
    <w:rsid w:val="006C701B"/>
    <w:rsid w:val="006C7522"/>
    <w:rsid w:val="006D0354"/>
    <w:rsid w:val="006D0BDF"/>
    <w:rsid w:val="006D1332"/>
    <w:rsid w:val="006D1447"/>
    <w:rsid w:val="006D165F"/>
    <w:rsid w:val="006D2B8B"/>
    <w:rsid w:val="006D2E22"/>
    <w:rsid w:val="006D2FAE"/>
    <w:rsid w:val="006D3764"/>
    <w:rsid w:val="006D3FB7"/>
    <w:rsid w:val="006D45A4"/>
    <w:rsid w:val="006D514D"/>
    <w:rsid w:val="006D539E"/>
    <w:rsid w:val="006D5A23"/>
    <w:rsid w:val="006D6F08"/>
    <w:rsid w:val="006D7429"/>
    <w:rsid w:val="006D7731"/>
    <w:rsid w:val="006D7ECF"/>
    <w:rsid w:val="006E051E"/>
    <w:rsid w:val="006E062C"/>
    <w:rsid w:val="006E1C82"/>
    <w:rsid w:val="006E23D0"/>
    <w:rsid w:val="006E259E"/>
    <w:rsid w:val="006E28B7"/>
    <w:rsid w:val="006E2A9B"/>
    <w:rsid w:val="006E3247"/>
    <w:rsid w:val="006E3310"/>
    <w:rsid w:val="006E4E39"/>
    <w:rsid w:val="006E518F"/>
    <w:rsid w:val="006E565E"/>
    <w:rsid w:val="006E673D"/>
    <w:rsid w:val="006E686A"/>
    <w:rsid w:val="006E68AF"/>
    <w:rsid w:val="006E6D32"/>
    <w:rsid w:val="006E6E05"/>
    <w:rsid w:val="006E6F5C"/>
    <w:rsid w:val="006E7D3B"/>
    <w:rsid w:val="006F00D0"/>
    <w:rsid w:val="006F15C5"/>
    <w:rsid w:val="006F1B70"/>
    <w:rsid w:val="006F1E5B"/>
    <w:rsid w:val="006F2704"/>
    <w:rsid w:val="006F341D"/>
    <w:rsid w:val="006F3867"/>
    <w:rsid w:val="006F3A78"/>
    <w:rsid w:val="006F3CDE"/>
    <w:rsid w:val="006F563A"/>
    <w:rsid w:val="006F569B"/>
    <w:rsid w:val="006F58D4"/>
    <w:rsid w:val="006F6582"/>
    <w:rsid w:val="006F67B4"/>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898"/>
    <w:rsid w:val="00710C7D"/>
    <w:rsid w:val="007116A4"/>
    <w:rsid w:val="00711A21"/>
    <w:rsid w:val="00711AB8"/>
    <w:rsid w:val="00712287"/>
    <w:rsid w:val="00712321"/>
    <w:rsid w:val="00712772"/>
    <w:rsid w:val="00713AF6"/>
    <w:rsid w:val="00713C95"/>
    <w:rsid w:val="00713F3E"/>
    <w:rsid w:val="007148D3"/>
    <w:rsid w:val="00715B9A"/>
    <w:rsid w:val="00715C4F"/>
    <w:rsid w:val="00716693"/>
    <w:rsid w:val="00716D80"/>
    <w:rsid w:val="00722266"/>
    <w:rsid w:val="0072349B"/>
    <w:rsid w:val="0072405E"/>
    <w:rsid w:val="00724D91"/>
    <w:rsid w:val="00725014"/>
    <w:rsid w:val="007251E7"/>
    <w:rsid w:val="007252F4"/>
    <w:rsid w:val="00725462"/>
    <w:rsid w:val="007256BD"/>
    <w:rsid w:val="007257D0"/>
    <w:rsid w:val="0072586F"/>
    <w:rsid w:val="00725D8D"/>
    <w:rsid w:val="00726EA6"/>
    <w:rsid w:val="00727208"/>
    <w:rsid w:val="00727680"/>
    <w:rsid w:val="00730552"/>
    <w:rsid w:val="00732F42"/>
    <w:rsid w:val="007331E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36E"/>
    <w:rsid w:val="00745737"/>
    <w:rsid w:val="00746BE5"/>
    <w:rsid w:val="00746C9D"/>
    <w:rsid w:val="00747D8B"/>
    <w:rsid w:val="00750640"/>
    <w:rsid w:val="007506B5"/>
    <w:rsid w:val="00751228"/>
    <w:rsid w:val="007513CF"/>
    <w:rsid w:val="00752407"/>
    <w:rsid w:val="00753A7F"/>
    <w:rsid w:val="007541F0"/>
    <w:rsid w:val="00754867"/>
    <w:rsid w:val="00754BC6"/>
    <w:rsid w:val="00754D76"/>
    <w:rsid w:val="007554A7"/>
    <w:rsid w:val="00755E39"/>
    <w:rsid w:val="00756408"/>
    <w:rsid w:val="007571E1"/>
    <w:rsid w:val="00757A16"/>
    <w:rsid w:val="00757C92"/>
    <w:rsid w:val="007604B2"/>
    <w:rsid w:val="007613EB"/>
    <w:rsid w:val="00761A06"/>
    <w:rsid w:val="00762686"/>
    <w:rsid w:val="007642BD"/>
    <w:rsid w:val="007647DD"/>
    <w:rsid w:val="00764E62"/>
    <w:rsid w:val="00765281"/>
    <w:rsid w:val="0076608D"/>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4CD"/>
    <w:rsid w:val="00786731"/>
    <w:rsid w:val="007917CD"/>
    <w:rsid w:val="007925EA"/>
    <w:rsid w:val="007934FB"/>
    <w:rsid w:val="007936BF"/>
    <w:rsid w:val="00793943"/>
    <w:rsid w:val="00793CD8"/>
    <w:rsid w:val="007944BB"/>
    <w:rsid w:val="00795091"/>
    <w:rsid w:val="00795434"/>
    <w:rsid w:val="00795544"/>
    <w:rsid w:val="00795C92"/>
    <w:rsid w:val="0079613D"/>
    <w:rsid w:val="00796231"/>
    <w:rsid w:val="00796553"/>
    <w:rsid w:val="007A0426"/>
    <w:rsid w:val="007A078B"/>
    <w:rsid w:val="007A0981"/>
    <w:rsid w:val="007A0AA8"/>
    <w:rsid w:val="007A0F94"/>
    <w:rsid w:val="007A1CB3"/>
    <w:rsid w:val="007A1CFB"/>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1429"/>
    <w:rsid w:val="007C1D11"/>
    <w:rsid w:val="007C206B"/>
    <w:rsid w:val="007C25F9"/>
    <w:rsid w:val="007C2950"/>
    <w:rsid w:val="007C2E66"/>
    <w:rsid w:val="007C33A9"/>
    <w:rsid w:val="007C3D18"/>
    <w:rsid w:val="007C48D7"/>
    <w:rsid w:val="007C5399"/>
    <w:rsid w:val="007C5796"/>
    <w:rsid w:val="007C60BF"/>
    <w:rsid w:val="007C631D"/>
    <w:rsid w:val="007C6A07"/>
    <w:rsid w:val="007C6A60"/>
    <w:rsid w:val="007C75A1"/>
    <w:rsid w:val="007C77A5"/>
    <w:rsid w:val="007C78A6"/>
    <w:rsid w:val="007C7981"/>
    <w:rsid w:val="007D0100"/>
    <w:rsid w:val="007D0117"/>
    <w:rsid w:val="007D04D1"/>
    <w:rsid w:val="007D04E5"/>
    <w:rsid w:val="007D05DB"/>
    <w:rsid w:val="007D2570"/>
    <w:rsid w:val="007D302A"/>
    <w:rsid w:val="007D3277"/>
    <w:rsid w:val="007D3634"/>
    <w:rsid w:val="007D37F4"/>
    <w:rsid w:val="007D4992"/>
    <w:rsid w:val="007D5901"/>
    <w:rsid w:val="007D5E05"/>
    <w:rsid w:val="007D5E37"/>
    <w:rsid w:val="007D65B8"/>
    <w:rsid w:val="007D7526"/>
    <w:rsid w:val="007D7570"/>
    <w:rsid w:val="007D7866"/>
    <w:rsid w:val="007D7E8B"/>
    <w:rsid w:val="007E1502"/>
    <w:rsid w:val="007E2464"/>
    <w:rsid w:val="007E261D"/>
    <w:rsid w:val="007E2AE7"/>
    <w:rsid w:val="007E2C61"/>
    <w:rsid w:val="007E30F7"/>
    <w:rsid w:val="007E3529"/>
    <w:rsid w:val="007E3DEE"/>
    <w:rsid w:val="007E4610"/>
    <w:rsid w:val="007E4715"/>
    <w:rsid w:val="007E505B"/>
    <w:rsid w:val="007E5163"/>
    <w:rsid w:val="007E5263"/>
    <w:rsid w:val="007E5943"/>
    <w:rsid w:val="007E5B22"/>
    <w:rsid w:val="007E65DD"/>
    <w:rsid w:val="007E6FD9"/>
    <w:rsid w:val="007E7091"/>
    <w:rsid w:val="007F0A8C"/>
    <w:rsid w:val="007F11E4"/>
    <w:rsid w:val="007F14A3"/>
    <w:rsid w:val="007F1DD3"/>
    <w:rsid w:val="007F249D"/>
    <w:rsid w:val="007F290F"/>
    <w:rsid w:val="007F3EDF"/>
    <w:rsid w:val="007F46E5"/>
    <w:rsid w:val="007F471B"/>
    <w:rsid w:val="007F4C93"/>
    <w:rsid w:val="007F4C9B"/>
    <w:rsid w:val="007F5E06"/>
    <w:rsid w:val="007F60C4"/>
    <w:rsid w:val="007F63EA"/>
    <w:rsid w:val="007F6825"/>
    <w:rsid w:val="007F7CCD"/>
    <w:rsid w:val="00800EEB"/>
    <w:rsid w:val="008033DF"/>
    <w:rsid w:val="00803D93"/>
    <w:rsid w:val="00803FAE"/>
    <w:rsid w:val="0080605F"/>
    <w:rsid w:val="008075C7"/>
    <w:rsid w:val="00807786"/>
    <w:rsid w:val="00807921"/>
    <w:rsid w:val="008101AF"/>
    <w:rsid w:val="008102C0"/>
    <w:rsid w:val="00810620"/>
    <w:rsid w:val="00811A6C"/>
    <w:rsid w:val="00811FCB"/>
    <w:rsid w:val="00812725"/>
    <w:rsid w:val="00812860"/>
    <w:rsid w:val="00813075"/>
    <w:rsid w:val="008138B1"/>
    <w:rsid w:val="00813A38"/>
    <w:rsid w:val="008147D9"/>
    <w:rsid w:val="00814A9E"/>
    <w:rsid w:val="008158D6"/>
    <w:rsid w:val="00815C4D"/>
    <w:rsid w:val="00815DFE"/>
    <w:rsid w:val="00816196"/>
    <w:rsid w:val="00816422"/>
    <w:rsid w:val="008167C3"/>
    <w:rsid w:val="00816B65"/>
    <w:rsid w:val="00816DB6"/>
    <w:rsid w:val="00817196"/>
    <w:rsid w:val="008206E4"/>
    <w:rsid w:val="00820944"/>
    <w:rsid w:val="00822010"/>
    <w:rsid w:val="00822350"/>
    <w:rsid w:val="0082268C"/>
    <w:rsid w:val="008235DB"/>
    <w:rsid w:val="008243B8"/>
    <w:rsid w:val="00824AB4"/>
    <w:rsid w:val="008252F0"/>
    <w:rsid w:val="00825790"/>
    <w:rsid w:val="008257EA"/>
    <w:rsid w:val="008259D4"/>
    <w:rsid w:val="00825C42"/>
    <w:rsid w:val="00825D25"/>
    <w:rsid w:val="008277D3"/>
    <w:rsid w:val="00827D6F"/>
    <w:rsid w:val="00830C5C"/>
    <w:rsid w:val="008310AF"/>
    <w:rsid w:val="00831457"/>
    <w:rsid w:val="008316EB"/>
    <w:rsid w:val="00831E3C"/>
    <w:rsid w:val="00831FD9"/>
    <w:rsid w:val="008338AD"/>
    <w:rsid w:val="00833B3E"/>
    <w:rsid w:val="008340BE"/>
    <w:rsid w:val="008343A4"/>
    <w:rsid w:val="008346DF"/>
    <w:rsid w:val="00834C47"/>
    <w:rsid w:val="00835023"/>
    <w:rsid w:val="00835171"/>
    <w:rsid w:val="00835AA4"/>
    <w:rsid w:val="0083625F"/>
    <w:rsid w:val="008370FA"/>
    <w:rsid w:val="008376AC"/>
    <w:rsid w:val="008376EA"/>
    <w:rsid w:val="00840038"/>
    <w:rsid w:val="008430DE"/>
    <w:rsid w:val="008444E8"/>
    <w:rsid w:val="00844E80"/>
    <w:rsid w:val="0084547D"/>
    <w:rsid w:val="008460E8"/>
    <w:rsid w:val="008462EF"/>
    <w:rsid w:val="00846764"/>
    <w:rsid w:val="00846FE7"/>
    <w:rsid w:val="008473E7"/>
    <w:rsid w:val="00847F79"/>
    <w:rsid w:val="008503A5"/>
    <w:rsid w:val="00850F72"/>
    <w:rsid w:val="008527ED"/>
    <w:rsid w:val="00852E1A"/>
    <w:rsid w:val="00852E8F"/>
    <w:rsid w:val="0085564D"/>
    <w:rsid w:val="00856078"/>
    <w:rsid w:val="00856132"/>
    <w:rsid w:val="00856911"/>
    <w:rsid w:val="00856C76"/>
    <w:rsid w:val="00857724"/>
    <w:rsid w:val="008610A7"/>
    <w:rsid w:val="00863250"/>
    <w:rsid w:val="00863731"/>
    <w:rsid w:val="00864067"/>
    <w:rsid w:val="00866253"/>
    <w:rsid w:val="00866275"/>
    <w:rsid w:val="00866B45"/>
    <w:rsid w:val="0086734F"/>
    <w:rsid w:val="008677FD"/>
    <w:rsid w:val="008706D4"/>
    <w:rsid w:val="00870D60"/>
    <w:rsid w:val="00870F8A"/>
    <w:rsid w:val="008719A4"/>
    <w:rsid w:val="00871D23"/>
    <w:rsid w:val="008730A9"/>
    <w:rsid w:val="0087312F"/>
    <w:rsid w:val="00873E8D"/>
    <w:rsid w:val="00874312"/>
    <w:rsid w:val="0087437C"/>
    <w:rsid w:val="00874B15"/>
    <w:rsid w:val="008751A7"/>
    <w:rsid w:val="00875CD7"/>
    <w:rsid w:val="008767C8"/>
    <w:rsid w:val="00876B4D"/>
    <w:rsid w:val="00877358"/>
    <w:rsid w:val="008779AD"/>
    <w:rsid w:val="00877E38"/>
    <w:rsid w:val="00877F18"/>
    <w:rsid w:val="00880175"/>
    <w:rsid w:val="008809FC"/>
    <w:rsid w:val="008817CC"/>
    <w:rsid w:val="008819C7"/>
    <w:rsid w:val="00882009"/>
    <w:rsid w:val="0088432B"/>
    <w:rsid w:val="00884D27"/>
    <w:rsid w:val="008860F9"/>
    <w:rsid w:val="008865D5"/>
    <w:rsid w:val="00886F51"/>
    <w:rsid w:val="00887483"/>
    <w:rsid w:val="0088753D"/>
    <w:rsid w:val="008878BF"/>
    <w:rsid w:val="00891023"/>
    <w:rsid w:val="0089202F"/>
    <w:rsid w:val="008933ED"/>
    <w:rsid w:val="00894114"/>
    <w:rsid w:val="008941E3"/>
    <w:rsid w:val="008942CF"/>
    <w:rsid w:val="00894469"/>
    <w:rsid w:val="00894898"/>
    <w:rsid w:val="00894A88"/>
    <w:rsid w:val="00895386"/>
    <w:rsid w:val="00896896"/>
    <w:rsid w:val="008973CC"/>
    <w:rsid w:val="0089763D"/>
    <w:rsid w:val="00897AF9"/>
    <w:rsid w:val="008A00C2"/>
    <w:rsid w:val="008A17F5"/>
    <w:rsid w:val="008A1B96"/>
    <w:rsid w:val="008A21FF"/>
    <w:rsid w:val="008A288F"/>
    <w:rsid w:val="008A2CE2"/>
    <w:rsid w:val="008A2F24"/>
    <w:rsid w:val="008A30AC"/>
    <w:rsid w:val="008A3A45"/>
    <w:rsid w:val="008A3AAD"/>
    <w:rsid w:val="008A4324"/>
    <w:rsid w:val="008A44B8"/>
    <w:rsid w:val="008A51A8"/>
    <w:rsid w:val="008A5412"/>
    <w:rsid w:val="008A54C7"/>
    <w:rsid w:val="008A59F8"/>
    <w:rsid w:val="008A5ACE"/>
    <w:rsid w:val="008A5D1D"/>
    <w:rsid w:val="008A5FBC"/>
    <w:rsid w:val="008A66D8"/>
    <w:rsid w:val="008A75F4"/>
    <w:rsid w:val="008A767C"/>
    <w:rsid w:val="008A77D8"/>
    <w:rsid w:val="008A7AC0"/>
    <w:rsid w:val="008A7EE3"/>
    <w:rsid w:val="008B0483"/>
    <w:rsid w:val="008B049D"/>
    <w:rsid w:val="008B0CEA"/>
    <w:rsid w:val="008B0E05"/>
    <w:rsid w:val="008B0FFA"/>
    <w:rsid w:val="008B120C"/>
    <w:rsid w:val="008B1481"/>
    <w:rsid w:val="008B1F77"/>
    <w:rsid w:val="008B2320"/>
    <w:rsid w:val="008B2E24"/>
    <w:rsid w:val="008B3B48"/>
    <w:rsid w:val="008B51A0"/>
    <w:rsid w:val="008B5379"/>
    <w:rsid w:val="008B592A"/>
    <w:rsid w:val="008B61A7"/>
    <w:rsid w:val="008B7B5C"/>
    <w:rsid w:val="008C02EB"/>
    <w:rsid w:val="008C0338"/>
    <w:rsid w:val="008C089B"/>
    <w:rsid w:val="008C0997"/>
    <w:rsid w:val="008C0C99"/>
    <w:rsid w:val="008C2017"/>
    <w:rsid w:val="008C23F9"/>
    <w:rsid w:val="008C2843"/>
    <w:rsid w:val="008C3726"/>
    <w:rsid w:val="008C3821"/>
    <w:rsid w:val="008C40DF"/>
    <w:rsid w:val="008C4751"/>
    <w:rsid w:val="008C4958"/>
    <w:rsid w:val="008C4BAA"/>
    <w:rsid w:val="008C4C24"/>
    <w:rsid w:val="008C4F49"/>
    <w:rsid w:val="008C56AB"/>
    <w:rsid w:val="008C580F"/>
    <w:rsid w:val="008C5C24"/>
    <w:rsid w:val="008C5E18"/>
    <w:rsid w:val="008C6497"/>
    <w:rsid w:val="008C6AE8"/>
    <w:rsid w:val="008C6E2D"/>
    <w:rsid w:val="008C6E6E"/>
    <w:rsid w:val="008C6F3E"/>
    <w:rsid w:val="008C6FDE"/>
    <w:rsid w:val="008C7573"/>
    <w:rsid w:val="008D00A5"/>
    <w:rsid w:val="008D07C4"/>
    <w:rsid w:val="008D1146"/>
    <w:rsid w:val="008D3410"/>
    <w:rsid w:val="008D3439"/>
    <w:rsid w:val="008D34F1"/>
    <w:rsid w:val="008D39D8"/>
    <w:rsid w:val="008D3A10"/>
    <w:rsid w:val="008D3ADA"/>
    <w:rsid w:val="008D3ED4"/>
    <w:rsid w:val="008D3F6F"/>
    <w:rsid w:val="008D4C64"/>
    <w:rsid w:val="008D51F3"/>
    <w:rsid w:val="008D60D7"/>
    <w:rsid w:val="008D626F"/>
    <w:rsid w:val="008D6578"/>
    <w:rsid w:val="008D689C"/>
    <w:rsid w:val="008D6D1A"/>
    <w:rsid w:val="008D73EF"/>
    <w:rsid w:val="008D7438"/>
    <w:rsid w:val="008E065E"/>
    <w:rsid w:val="008E0927"/>
    <w:rsid w:val="008E09DD"/>
    <w:rsid w:val="008E1909"/>
    <w:rsid w:val="008E2291"/>
    <w:rsid w:val="008E2C59"/>
    <w:rsid w:val="008E3727"/>
    <w:rsid w:val="008E374C"/>
    <w:rsid w:val="008E3C92"/>
    <w:rsid w:val="008E3EC1"/>
    <w:rsid w:val="008E43CD"/>
    <w:rsid w:val="008E55A9"/>
    <w:rsid w:val="008E57D2"/>
    <w:rsid w:val="008E5EE9"/>
    <w:rsid w:val="008E6B47"/>
    <w:rsid w:val="008E704B"/>
    <w:rsid w:val="008F0054"/>
    <w:rsid w:val="008F024C"/>
    <w:rsid w:val="008F0479"/>
    <w:rsid w:val="008F106C"/>
    <w:rsid w:val="008F1EAB"/>
    <w:rsid w:val="008F33DC"/>
    <w:rsid w:val="008F342D"/>
    <w:rsid w:val="008F371D"/>
    <w:rsid w:val="008F477F"/>
    <w:rsid w:val="008F47C7"/>
    <w:rsid w:val="008F55C3"/>
    <w:rsid w:val="008F5C8D"/>
    <w:rsid w:val="008F679F"/>
    <w:rsid w:val="008F7413"/>
    <w:rsid w:val="008F7D38"/>
    <w:rsid w:val="00900A54"/>
    <w:rsid w:val="00901FF9"/>
    <w:rsid w:val="00902350"/>
    <w:rsid w:val="009024B2"/>
    <w:rsid w:val="0090336B"/>
    <w:rsid w:val="00903D1F"/>
    <w:rsid w:val="009040D5"/>
    <w:rsid w:val="0090421B"/>
    <w:rsid w:val="00904731"/>
    <w:rsid w:val="009053AA"/>
    <w:rsid w:val="009058AD"/>
    <w:rsid w:val="00905FD2"/>
    <w:rsid w:val="00906686"/>
    <w:rsid w:val="00906939"/>
    <w:rsid w:val="00907338"/>
    <w:rsid w:val="009104B0"/>
    <w:rsid w:val="0091057F"/>
    <w:rsid w:val="009105EA"/>
    <w:rsid w:val="009109FE"/>
    <w:rsid w:val="00910B7D"/>
    <w:rsid w:val="00910F5B"/>
    <w:rsid w:val="00911212"/>
    <w:rsid w:val="009116BB"/>
    <w:rsid w:val="00911DFB"/>
    <w:rsid w:val="009139D9"/>
    <w:rsid w:val="00913E64"/>
    <w:rsid w:val="009140FC"/>
    <w:rsid w:val="00914210"/>
    <w:rsid w:val="00914AD8"/>
    <w:rsid w:val="00915A92"/>
    <w:rsid w:val="00916079"/>
    <w:rsid w:val="00916840"/>
    <w:rsid w:val="009168D8"/>
    <w:rsid w:val="00917CE9"/>
    <w:rsid w:val="00920BF2"/>
    <w:rsid w:val="009212DC"/>
    <w:rsid w:val="0092131F"/>
    <w:rsid w:val="00921393"/>
    <w:rsid w:val="00921967"/>
    <w:rsid w:val="00921BC5"/>
    <w:rsid w:val="00922010"/>
    <w:rsid w:val="00923165"/>
    <w:rsid w:val="009248DC"/>
    <w:rsid w:val="00924C52"/>
    <w:rsid w:val="009254F0"/>
    <w:rsid w:val="00926123"/>
    <w:rsid w:val="00927413"/>
    <w:rsid w:val="009278A6"/>
    <w:rsid w:val="00927DAF"/>
    <w:rsid w:val="00930C48"/>
    <w:rsid w:val="009312FC"/>
    <w:rsid w:val="00931BD9"/>
    <w:rsid w:val="00931BE3"/>
    <w:rsid w:val="00932966"/>
    <w:rsid w:val="00933081"/>
    <w:rsid w:val="0093391A"/>
    <w:rsid w:val="00933A73"/>
    <w:rsid w:val="00933C65"/>
    <w:rsid w:val="00933CB8"/>
    <w:rsid w:val="009357A5"/>
    <w:rsid w:val="009365FF"/>
    <w:rsid w:val="00936875"/>
    <w:rsid w:val="009368F3"/>
    <w:rsid w:val="0093706E"/>
    <w:rsid w:val="009376DF"/>
    <w:rsid w:val="009378A1"/>
    <w:rsid w:val="00940A64"/>
    <w:rsid w:val="009412D6"/>
    <w:rsid w:val="00941636"/>
    <w:rsid w:val="0094247E"/>
    <w:rsid w:val="0094276C"/>
    <w:rsid w:val="0094309A"/>
    <w:rsid w:val="00943742"/>
    <w:rsid w:val="00944ABB"/>
    <w:rsid w:val="00944F42"/>
    <w:rsid w:val="00944F97"/>
    <w:rsid w:val="009451EA"/>
    <w:rsid w:val="00945C05"/>
    <w:rsid w:val="00946945"/>
    <w:rsid w:val="00946E39"/>
    <w:rsid w:val="00947713"/>
    <w:rsid w:val="00947C0F"/>
    <w:rsid w:val="00950C8A"/>
    <w:rsid w:val="00950DE7"/>
    <w:rsid w:val="0095134F"/>
    <w:rsid w:val="009518D4"/>
    <w:rsid w:val="00951D17"/>
    <w:rsid w:val="0095239F"/>
    <w:rsid w:val="00953920"/>
    <w:rsid w:val="00953D47"/>
    <w:rsid w:val="0095542B"/>
    <w:rsid w:val="00955B86"/>
    <w:rsid w:val="0095681E"/>
    <w:rsid w:val="00956ED4"/>
    <w:rsid w:val="009572D4"/>
    <w:rsid w:val="009576C7"/>
    <w:rsid w:val="00960219"/>
    <w:rsid w:val="009608A8"/>
    <w:rsid w:val="00961321"/>
    <w:rsid w:val="00961921"/>
    <w:rsid w:val="00961B2D"/>
    <w:rsid w:val="0096263A"/>
    <w:rsid w:val="00962975"/>
    <w:rsid w:val="00962ADC"/>
    <w:rsid w:val="009630AB"/>
    <w:rsid w:val="00963455"/>
    <w:rsid w:val="0096355A"/>
    <w:rsid w:val="00963B6E"/>
    <w:rsid w:val="00963F30"/>
    <w:rsid w:val="0096430A"/>
    <w:rsid w:val="0096554B"/>
    <w:rsid w:val="0096584A"/>
    <w:rsid w:val="00966101"/>
    <w:rsid w:val="00966E94"/>
    <w:rsid w:val="00971BBE"/>
    <w:rsid w:val="00971F08"/>
    <w:rsid w:val="00972AB0"/>
    <w:rsid w:val="009738DE"/>
    <w:rsid w:val="00973926"/>
    <w:rsid w:val="00974285"/>
    <w:rsid w:val="0097498F"/>
    <w:rsid w:val="00974C3E"/>
    <w:rsid w:val="009754F8"/>
    <w:rsid w:val="009757DD"/>
    <w:rsid w:val="0097603D"/>
    <w:rsid w:val="00976949"/>
    <w:rsid w:val="0097714F"/>
    <w:rsid w:val="00977A97"/>
    <w:rsid w:val="00977CFF"/>
    <w:rsid w:val="00977DFC"/>
    <w:rsid w:val="00980477"/>
    <w:rsid w:val="009815D6"/>
    <w:rsid w:val="00981D22"/>
    <w:rsid w:val="009831A5"/>
    <w:rsid w:val="00984EA3"/>
    <w:rsid w:val="00985253"/>
    <w:rsid w:val="009853B3"/>
    <w:rsid w:val="0098576D"/>
    <w:rsid w:val="00987D4E"/>
    <w:rsid w:val="00990630"/>
    <w:rsid w:val="009909D6"/>
    <w:rsid w:val="00991540"/>
    <w:rsid w:val="00991761"/>
    <w:rsid w:val="0099197F"/>
    <w:rsid w:val="00992021"/>
    <w:rsid w:val="00993A41"/>
    <w:rsid w:val="00993D35"/>
    <w:rsid w:val="00994DCA"/>
    <w:rsid w:val="00994E39"/>
    <w:rsid w:val="00995BB7"/>
    <w:rsid w:val="009960EC"/>
    <w:rsid w:val="009970DD"/>
    <w:rsid w:val="009977D7"/>
    <w:rsid w:val="009A027F"/>
    <w:rsid w:val="009A0FBA"/>
    <w:rsid w:val="009A1601"/>
    <w:rsid w:val="009A1685"/>
    <w:rsid w:val="009A1E8E"/>
    <w:rsid w:val="009A21E8"/>
    <w:rsid w:val="009A22F4"/>
    <w:rsid w:val="009A2687"/>
    <w:rsid w:val="009A319D"/>
    <w:rsid w:val="009A367F"/>
    <w:rsid w:val="009A3BB6"/>
    <w:rsid w:val="009A462D"/>
    <w:rsid w:val="009A4FF3"/>
    <w:rsid w:val="009A5183"/>
    <w:rsid w:val="009A5645"/>
    <w:rsid w:val="009A5CBA"/>
    <w:rsid w:val="009A6EA7"/>
    <w:rsid w:val="009A7B1F"/>
    <w:rsid w:val="009A7E4D"/>
    <w:rsid w:val="009B07E6"/>
    <w:rsid w:val="009B0F8F"/>
    <w:rsid w:val="009B1A7D"/>
    <w:rsid w:val="009B1F30"/>
    <w:rsid w:val="009B1FE7"/>
    <w:rsid w:val="009B35E0"/>
    <w:rsid w:val="009B3856"/>
    <w:rsid w:val="009B3AC2"/>
    <w:rsid w:val="009B3F4B"/>
    <w:rsid w:val="009B444C"/>
    <w:rsid w:val="009B45C1"/>
    <w:rsid w:val="009B4DF4"/>
    <w:rsid w:val="009B4EA8"/>
    <w:rsid w:val="009B4EB7"/>
    <w:rsid w:val="009B561D"/>
    <w:rsid w:val="009B564E"/>
    <w:rsid w:val="009B5ADC"/>
    <w:rsid w:val="009B62BE"/>
    <w:rsid w:val="009B6A73"/>
    <w:rsid w:val="009B6D08"/>
    <w:rsid w:val="009B7E87"/>
    <w:rsid w:val="009C0057"/>
    <w:rsid w:val="009C0169"/>
    <w:rsid w:val="009C02EC"/>
    <w:rsid w:val="009C1049"/>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116F"/>
    <w:rsid w:val="009D3B9B"/>
    <w:rsid w:val="009D404D"/>
    <w:rsid w:val="009D44EA"/>
    <w:rsid w:val="009D4537"/>
    <w:rsid w:val="009D4FF0"/>
    <w:rsid w:val="009D703C"/>
    <w:rsid w:val="009D718F"/>
    <w:rsid w:val="009D7483"/>
    <w:rsid w:val="009D7586"/>
    <w:rsid w:val="009E0077"/>
    <w:rsid w:val="009E068F"/>
    <w:rsid w:val="009E10DF"/>
    <w:rsid w:val="009E14E0"/>
    <w:rsid w:val="009E2304"/>
    <w:rsid w:val="009E2365"/>
    <w:rsid w:val="009E2595"/>
    <w:rsid w:val="009E35DB"/>
    <w:rsid w:val="009E35DE"/>
    <w:rsid w:val="009E37A1"/>
    <w:rsid w:val="009E414C"/>
    <w:rsid w:val="009E47A3"/>
    <w:rsid w:val="009E47AD"/>
    <w:rsid w:val="009E5CC5"/>
    <w:rsid w:val="009E7449"/>
    <w:rsid w:val="009F037E"/>
    <w:rsid w:val="009F08F3"/>
    <w:rsid w:val="009F11EF"/>
    <w:rsid w:val="009F1952"/>
    <w:rsid w:val="009F2010"/>
    <w:rsid w:val="009F2FFE"/>
    <w:rsid w:val="009F3394"/>
    <w:rsid w:val="009F344F"/>
    <w:rsid w:val="009F3ECD"/>
    <w:rsid w:val="009F4143"/>
    <w:rsid w:val="009F45C0"/>
    <w:rsid w:val="009F50C3"/>
    <w:rsid w:val="009F6767"/>
    <w:rsid w:val="009F75E5"/>
    <w:rsid w:val="009F7E6F"/>
    <w:rsid w:val="00A01371"/>
    <w:rsid w:val="00A014FC"/>
    <w:rsid w:val="00A01FAE"/>
    <w:rsid w:val="00A0204C"/>
    <w:rsid w:val="00A0289A"/>
    <w:rsid w:val="00A031D8"/>
    <w:rsid w:val="00A04537"/>
    <w:rsid w:val="00A048A8"/>
    <w:rsid w:val="00A04F49"/>
    <w:rsid w:val="00A05BE6"/>
    <w:rsid w:val="00A05C01"/>
    <w:rsid w:val="00A06044"/>
    <w:rsid w:val="00A06EA9"/>
    <w:rsid w:val="00A0702F"/>
    <w:rsid w:val="00A072FC"/>
    <w:rsid w:val="00A073D2"/>
    <w:rsid w:val="00A07510"/>
    <w:rsid w:val="00A1150E"/>
    <w:rsid w:val="00A1186D"/>
    <w:rsid w:val="00A1288E"/>
    <w:rsid w:val="00A13028"/>
    <w:rsid w:val="00A138EF"/>
    <w:rsid w:val="00A13E54"/>
    <w:rsid w:val="00A155AE"/>
    <w:rsid w:val="00A1561A"/>
    <w:rsid w:val="00A1589F"/>
    <w:rsid w:val="00A16B63"/>
    <w:rsid w:val="00A1744E"/>
    <w:rsid w:val="00A17965"/>
    <w:rsid w:val="00A17F63"/>
    <w:rsid w:val="00A202B2"/>
    <w:rsid w:val="00A203C4"/>
    <w:rsid w:val="00A204FE"/>
    <w:rsid w:val="00A208BA"/>
    <w:rsid w:val="00A218B3"/>
    <w:rsid w:val="00A2193B"/>
    <w:rsid w:val="00A22209"/>
    <w:rsid w:val="00A22D6A"/>
    <w:rsid w:val="00A2351A"/>
    <w:rsid w:val="00A23ECB"/>
    <w:rsid w:val="00A25033"/>
    <w:rsid w:val="00A25224"/>
    <w:rsid w:val="00A264A9"/>
    <w:rsid w:val="00A26961"/>
    <w:rsid w:val="00A269C9"/>
    <w:rsid w:val="00A26DCF"/>
    <w:rsid w:val="00A27785"/>
    <w:rsid w:val="00A30187"/>
    <w:rsid w:val="00A32847"/>
    <w:rsid w:val="00A33097"/>
    <w:rsid w:val="00A3448A"/>
    <w:rsid w:val="00A34AED"/>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3C5"/>
    <w:rsid w:val="00A52798"/>
    <w:rsid w:val="00A528AF"/>
    <w:rsid w:val="00A52E1D"/>
    <w:rsid w:val="00A53DEC"/>
    <w:rsid w:val="00A53E8E"/>
    <w:rsid w:val="00A543BC"/>
    <w:rsid w:val="00A5449B"/>
    <w:rsid w:val="00A55922"/>
    <w:rsid w:val="00A57E4D"/>
    <w:rsid w:val="00A60009"/>
    <w:rsid w:val="00A61499"/>
    <w:rsid w:val="00A615E7"/>
    <w:rsid w:val="00A61D48"/>
    <w:rsid w:val="00A61D9E"/>
    <w:rsid w:val="00A62101"/>
    <w:rsid w:val="00A62A77"/>
    <w:rsid w:val="00A63483"/>
    <w:rsid w:val="00A638B5"/>
    <w:rsid w:val="00A6399E"/>
    <w:rsid w:val="00A63C71"/>
    <w:rsid w:val="00A654E1"/>
    <w:rsid w:val="00A657D7"/>
    <w:rsid w:val="00A65C39"/>
    <w:rsid w:val="00A660AC"/>
    <w:rsid w:val="00A66322"/>
    <w:rsid w:val="00A66F12"/>
    <w:rsid w:val="00A67208"/>
    <w:rsid w:val="00A67326"/>
    <w:rsid w:val="00A67E6C"/>
    <w:rsid w:val="00A70971"/>
    <w:rsid w:val="00A70992"/>
    <w:rsid w:val="00A7144B"/>
    <w:rsid w:val="00A71B99"/>
    <w:rsid w:val="00A72124"/>
    <w:rsid w:val="00A72788"/>
    <w:rsid w:val="00A733CD"/>
    <w:rsid w:val="00A73731"/>
    <w:rsid w:val="00A739D0"/>
    <w:rsid w:val="00A73D78"/>
    <w:rsid w:val="00A74E4A"/>
    <w:rsid w:val="00A761D4"/>
    <w:rsid w:val="00A76977"/>
    <w:rsid w:val="00A76CA6"/>
    <w:rsid w:val="00A770B3"/>
    <w:rsid w:val="00A77A8E"/>
    <w:rsid w:val="00A77C64"/>
    <w:rsid w:val="00A77DC4"/>
    <w:rsid w:val="00A77EC4"/>
    <w:rsid w:val="00A815A1"/>
    <w:rsid w:val="00A82C8A"/>
    <w:rsid w:val="00A83708"/>
    <w:rsid w:val="00A83986"/>
    <w:rsid w:val="00A83F48"/>
    <w:rsid w:val="00A8423A"/>
    <w:rsid w:val="00A842A0"/>
    <w:rsid w:val="00A8454D"/>
    <w:rsid w:val="00A84DC2"/>
    <w:rsid w:val="00A8544D"/>
    <w:rsid w:val="00A85FC6"/>
    <w:rsid w:val="00A86435"/>
    <w:rsid w:val="00A91B0F"/>
    <w:rsid w:val="00A92879"/>
    <w:rsid w:val="00A92D25"/>
    <w:rsid w:val="00A9442A"/>
    <w:rsid w:val="00A9592F"/>
    <w:rsid w:val="00A959BA"/>
    <w:rsid w:val="00A96172"/>
    <w:rsid w:val="00A97339"/>
    <w:rsid w:val="00A97FBF"/>
    <w:rsid w:val="00AA001A"/>
    <w:rsid w:val="00AA016F"/>
    <w:rsid w:val="00AA1360"/>
    <w:rsid w:val="00AA1ED6"/>
    <w:rsid w:val="00AA2E28"/>
    <w:rsid w:val="00AA437D"/>
    <w:rsid w:val="00AA4D39"/>
    <w:rsid w:val="00AA51D6"/>
    <w:rsid w:val="00AA6942"/>
    <w:rsid w:val="00AB00B6"/>
    <w:rsid w:val="00AB0BC8"/>
    <w:rsid w:val="00AB0F5A"/>
    <w:rsid w:val="00AB11CA"/>
    <w:rsid w:val="00AB14D9"/>
    <w:rsid w:val="00AB1DAA"/>
    <w:rsid w:val="00AB2356"/>
    <w:rsid w:val="00AB452B"/>
    <w:rsid w:val="00AB4AB8"/>
    <w:rsid w:val="00AB4C48"/>
    <w:rsid w:val="00AB4D71"/>
    <w:rsid w:val="00AB5BBC"/>
    <w:rsid w:val="00AB5CB6"/>
    <w:rsid w:val="00AB655E"/>
    <w:rsid w:val="00AB7324"/>
    <w:rsid w:val="00AB794F"/>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3F2"/>
    <w:rsid w:val="00AD38E2"/>
    <w:rsid w:val="00AD3C02"/>
    <w:rsid w:val="00AD3F94"/>
    <w:rsid w:val="00AD4215"/>
    <w:rsid w:val="00AD4411"/>
    <w:rsid w:val="00AD46E0"/>
    <w:rsid w:val="00AD4A5A"/>
    <w:rsid w:val="00AD5BD4"/>
    <w:rsid w:val="00AD5BF8"/>
    <w:rsid w:val="00AD5DD7"/>
    <w:rsid w:val="00AD616E"/>
    <w:rsid w:val="00AD7421"/>
    <w:rsid w:val="00AD7F8A"/>
    <w:rsid w:val="00AE0591"/>
    <w:rsid w:val="00AE0EC7"/>
    <w:rsid w:val="00AE1620"/>
    <w:rsid w:val="00AE1BE4"/>
    <w:rsid w:val="00AE22CA"/>
    <w:rsid w:val="00AE2773"/>
    <w:rsid w:val="00AE27AC"/>
    <w:rsid w:val="00AE298B"/>
    <w:rsid w:val="00AE347C"/>
    <w:rsid w:val="00AE40E0"/>
    <w:rsid w:val="00AE4434"/>
    <w:rsid w:val="00AE46B9"/>
    <w:rsid w:val="00AE480D"/>
    <w:rsid w:val="00AE4DBA"/>
    <w:rsid w:val="00AE4F07"/>
    <w:rsid w:val="00AE6E5D"/>
    <w:rsid w:val="00AE7E8B"/>
    <w:rsid w:val="00AF097F"/>
    <w:rsid w:val="00AF09E3"/>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AF7F74"/>
    <w:rsid w:val="00B006FE"/>
    <w:rsid w:val="00B007CB"/>
    <w:rsid w:val="00B01ABA"/>
    <w:rsid w:val="00B02294"/>
    <w:rsid w:val="00B02AA9"/>
    <w:rsid w:val="00B02B43"/>
    <w:rsid w:val="00B02FA3"/>
    <w:rsid w:val="00B02FD0"/>
    <w:rsid w:val="00B0455C"/>
    <w:rsid w:val="00B047D3"/>
    <w:rsid w:val="00B05084"/>
    <w:rsid w:val="00B0571D"/>
    <w:rsid w:val="00B06F73"/>
    <w:rsid w:val="00B06FEF"/>
    <w:rsid w:val="00B0750B"/>
    <w:rsid w:val="00B07A07"/>
    <w:rsid w:val="00B10894"/>
    <w:rsid w:val="00B12529"/>
    <w:rsid w:val="00B12A9B"/>
    <w:rsid w:val="00B12B4F"/>
    <w:rsid w:val="00B1370B"/>
    <w:rsid w:val="00B1407B"/>
    <w:rsid w:val="00B14196"/>
    <w:rsid w:val="00B14B87"/>
    <w:rsid w:val="00B151F2"/>
    <w:rsid w:val="00B157F9"/>
    <w:rsid w:val="00B15A8D"/>
    <w:rsid w:val="00B1637B"/>
    <w:rsid w:val="00B200C0"/>
    <w:rsid w:val="00B20256"/>
    <w:rsid w:val="00B20285"/>
    <w:rsid w:val="00B20D09"/>
    <w:rsid w:val="00B21539"/>
    <w:rsid w:val="00B22177"/>
    <w:rsid w:val="00B2255B"/>
    <w:rsid w:val="00B22850"/>
    <w:rsid w:val="00B22956"/>
    <w:rsid w:val="00B23C02"/>
    <w:rsid w:val="00B24382"/>
    <w:rsid w:val="00B2442F"/>
    <w:rsid w:val="00B2450E"/>
    <w:rsid w:val="00B25C1D"/>
    <w:rsid w:val="00B25E72"/>
    <w:rsid w:val="00B266DF"/>
    <w:rsid w:val="00B269EE"/>
    <w:rsid w:val="00B26E30"/>
    <w:rsid w:val="00B2763F"/>
    <w:rsid w:val="00B27AAC"/>
    <w:rsid w:val="00B30817"/>
    <w:rsid w:val="00B308A7"/>
    <w:rsid w:val="00B30929"/>
    <w:rsid w:val="00B30A17"/>
    <w:rsid w:val="00B30DEE"/>
    <w:rsid w:val="00B31710"/>
    <w:rsid w:val="00B333CC"/>
    <w:rsid w:val="00B34939"/>
    <w:rsid w:val="00B34CA8"/>
    <w:rsid w:val="00B34DF1"/>
    <w:rsid w:val="00B35304"/>
    <w:rsid w:val="00B355FC"/>
    <w:rsid w:val="00B36D73"/>
    <w:rsid w:val="00B36D7A"/>
    <w:rsid w:val="00B372AA"/>
    <w:rsid w:val="00B37744"/>
    <w:rsid w:val="00B400B7"/>
    <w:rsid w:val="00B40445"/>
    <w:rsid w:val="00B409E0"/>
    <w:rsid w:val="00B410F6"/>
    <w:rsid w:val="00B41888"/>
    <w:rsid w:val="00B41E36"/>
    <w:rsid w:val="00B41F41"/>
    <w:rsid w:val="00B427FC"/>
    <w:rsid w:val="00B440BB"/>
    <w:rsid w:val="00B444C3"/>
    <w:rsid w:val="00B4509A"/>
    <w:rsid w:val="00B455F2"/>
    <w:rsid w:val="00B45607"/>
    <w:rsid w:val="00B45A52"/>
    <w:rsid w:val="00B45A91"/>
    <w:rsid w:val="00B45B04"/>
    <w:rsid w:val="00B46175"/>
    <w:rsid w:val="00B50CD4"/>
    <w:rsid w:val="00B5180D"/>
    <w:rsid w:val="00B51AC4"/>
    <w:rsid w:val="00B52562"/>
    <w:rsid w:val="00B52689"/>
    <w:rsid w:val="00B52881"/>
    <w:rsid w:val="00B52882"/>
    <w:rsid w:val="00B52A6F"/>
    <w:rsid w:val="00B53E25"/>
    <w:rsid w:val="00B54546"/>
    <w:rsid w:val="00B548B7"/>
    <w:rsid w:val="00B54BC3"/>
    <w:rsid w:val="00B559D4"/>
    <w:rsid w:val="00B56152"/>
    <w:rsid w:val="00B56226"/>
    <w:rsid w:val="00B5687E"/>
    <w:rsid w:val="00B56C02"/>
    <w:rsid w:val="00B6120C"/>
    <w:rsid w:val="00B617E0"/>
    <w:rsid w:val="00B61AB4"/>
    <w:rsid w:val="00B61EFF"/>
    <w:rsid w:val="00B6238C"/>
    <w:rsid w:val="00B6269D"/>
    <w:rsid w:val="00B63F2F"/>
    <w:rsid w:val="00B642C9"/>
    <w:rsid w:val="00B664C7"/>
    <w:rsid w:val="00B66A73"/>
    <w:rsid w:val="00B67052"/>
    <w:rsid w:val="00B67E64"/>
    <w:rsid w:val="00B714E3"/>
    <w:rsid w:val="00B71E67"/>
    <w:rsid w:val="00B72515"/>
    <w:rsid w:val="00B73031"/>
    <w:rsid w:val="00B739F6"/>
    <w:rsid w:val="00B73C79"/>
    <w:rsid w:val="00B73E2C"/>
    <w:rsid w:val="00B75B11"/>
    <w:rsid w:val="00B7605B"/>
    <w:rsid w:val="00B76681"/>
    <w:rsid w:val="00B801C9"/>
    <w:rsid w:val="00B80385"/>
    <w:rsid w:val="00B80628"/>
    <w:rsid w:val="00B80EC9"/>
    <w:rsid w:val="00B81A6C"/>
    <w:rsid w:val="00B8252B"/>
    <w:rsid w:val="00B82727"/>
    <w:rsid w:val="00B838CF"/>
    <w:rsid w:val="00B84DF3"/>
    <w:rsid w:val="00B85796"/>
    <w:rsid w:val="00B85A00"/>
    <w:rsid w:val="00B85DE5"/>
    <w:rsid w:val="00B86B13"/>
    <w:rsid w:val="00B86E06"/>
    <w:rsid w:val="00B90C44"/>
    <w:rsid w:val="00B90F18"/>
    <w:rsid w:val="00B90F73"/>
    <w:rsid w:val="00B91F7B"/>
    <w:rsid w:val="00B92282"/>
    <w:rsid w:val="00B93320"/>
    <w:rsid w:val="00B936E8"/>
    <w:rsid w:val="00B93B59"/>
    <w:rsid w:val="00B93D2A"/>
    <w:rsid w:val="00B9406A"/>
    <w:rsid w:val="00B941B3"/>
    <w:rsid w:val="00B94B68"/>
    <w:rsid w:val="00B95007"/>
    <w:rsid w:val="00B95350"/>
    <w:rsid w:val="00B97F3F"/>
    <w:rsid w:val="00BA079B"/>
    <w:rsid w:val="00BA1E47"/>
    <w:rsid w:val="00BA21A9"/>
    <w:rsid w:val="00BA2280"/>
    <w:rsid w:val="00BA23A5"/>
    <w:rsid w:val="00BA24FF"/>
    <w:rsid w:val="00BA26EE"/>
    <w:rsid w:val="00BA2A08"/>
    <w:rsid w:val="00BA3DBC"/>
    <w:rsid w:val="00BA4916"/>
    <w:rsid w:val="00BA56D2"/>
    <w:rsid w:val="00BA5703"/>
    <w:rsid w:val="00BA61F0"/>
    <w:rsid w:val="00BA6C5C"/>
    <w:rsid w:val="00BA76E0"/>
    <w:rsid w:val="00BB0642"/>
    <w:rsid w:val="00BB0660"/>
    <w:rsid w:val="00BB1931"/>
    <w:rsid w:val="00BB254A"/>
    <w:rsid w:val="00BB2A25"/>
    <w:rsid w:val="00BB3D8B"/>
    <w:rsid w:val="00BB474F"/>
    <w:rsid w:val="00BB51E9"/>
    <w:rsid w:val="00BB52B0"/>
    <w:rsid w:val="00BB5E18"/>
    <w:rsid w:val="00BB68AC"/>
    <w:rsid w:val="00BB7ABD"/>
    <w:rsid w:val="00BB7E9C"/>
    <w:rsid w:val="00BC0FDC"/>
    <w:rsid w:val="00BC3053"/>
    <w:rsid w:val="00BC310F"/>
    <w:rsid w:val="00BC3E20"/>
    <w:rsid w:val="00BC4C9D"/>
    <w:rsid w:val="00BC4CFE"/>
    <w:rsid w:val="00BC4D2E"/>
    <w:rsid w:val="00BC4DE3"/>
    <w:rsid w:val="00BC5803"/>
    <w:rsid w:val="00BC58EF"/>
    <w:rsid w:val="00BC5A1F"/>
    <w:rsid w:val="00BC6374"/>
    <w:rsid w:val="00BC6D89"/>
    <w:rsid w:val="00BC7784"/>
    <w:rsid w:val="00BD0F82"/>
    <w:rsid w:val="00BD1F95"/>
    <w:rsid w:val="00BD24E7"/>
    <w:rsid w:val="00BD2CFD"/>
    <w:rsid w:val="00BD2E8F"/>
    <w:rsid w:val="00BD36AE"/>
    <w:rsid w:val="00BD3A66"/>
    <w:rsid w:val="00BD3ACD"/>
    <w:rsid w:val="00BD4328"/>
    <w:rsid w:val="00BD4634"/>
    <w:rsid w:val="00BD48AC"/>
    <w:rsid w:val="00BD5F1A"/>
    <w:rsid w:val="00BD60B0"/>
    <w:rsid w:val="00BD713D"/>
    <w:rsid w:val="00BD7651"/>
    <w:rsid w:val="00BD7669"/>
    <w:rsid w:val="00BE00D2"/>
    <w:rsid w:val="00BE01C5"/>
    <w:rsid w:val="00BE1234"/>
    <w:rsid w:val="00BE1780"/>
    <w:rsid w:val="00BE1947"/>
    <w:rsid w:val="00BE1966"/>
    <w:rsid w:val="00BE2436"/>
    <w:rsid w:val="00BE2A41"/>
    <w:rsid w:val="00BE2FA6"/>
    <w:rsid w:val="00BE333F"/>
    <w:rsid w:val="00BE3507"/>
    <w:rsid w:val="00BE4191"/>
    <w:rsid w:val="00BE4BA4"/>
    <w:rsid w:val="00BE4EF2"/>
    <w:rsid w:val="00BE5122"/>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4E8F"/>
    <w:rsid w:val="00BF514B"/>
    <w:rsid w:val="00BF64EB"/>
    <w:rsid w:val="00BF6E60"/>
    <w:rsid w:val="00BF7266"/>
    <w:rsid w:val="00BF74C7"/>
    <w:rsid w:val="00BF750D"/>
    <w:rsid w:val="00BF7F03"/>
    <w:rsid w:val="00C009CD"/>
    <w:rsid w:val="00C01475"/>
    <w:rsid w:val="00C015F1"/>
    <w:rsid w:val="00C0180E"/>
    <w:rsid w:val="00C01CD8"/>
    <w:rsid w:val="00C01F33"/>
    <w:rsid w:val="00C026CF"/>
    <w:rsid w:val="00C02CC6"/>
    <w:rsid w:val="00C0352D"/>
    <w:rsid w:val="00C0398F"/>
    <w:rsid w:val="00C040F7"/>
    <w:rsid w:val="00C042B4"/>
    <w:rsid w:val="00C044AB"/>
    <w:rsid w:val="00C04B69"/>
    <w:rsid w:val="00C04FBF"/>
    <w:rsid w:val="00C0526B"/>
    <w:rsid w:val="00C05706"/>
    <w:rsid w:val="00C057E5"/>
    <w:rsid w:val="00C0607E"/>
    <w:rsid w:val="00C062CC"/>
    <w:rsid w:val="00C06932"/>
    <w:rsid w:val="00C07377"/>
    <w:rsid w:val="00C0743A"/>
    <w:rsid w:val="00C07DAA"/>
    <w:rsid w:val="00C10478"/>
    <w:rsid w:val="00C1190E"/>
    <w:rsid w:val="00C12107"/>
    <w:rsid w:val="00C13643"/>
    <w:rsid w:val="00C14D4B"/>
    <w:rsid w:val="00C154BB"/>
    <w:rsid w:val="00C15504"/>
    <w:rsid w:val="00C15ADB"/>
    <w:rsid w:val="00C160B2"/>
    <w:rsid w:val="00C165DF"/>
    <w:rsid w:val="00C17993"/>
    <w:rsid w:val="00C2132E"/>
    <w:rsid w:val="00C218D6"/>
    <w:rsid w:val="00C21EFE"/>
    <w:rsid w:val="00C23264"/>
    <w:rsid w:val="00C23867"/>
    <w:rsid w:val="00C2461F"/>
    <w:rsid w:val="00C24B09"/>
    <w:rsid w:val="00C24BDA"/>
    <w:rsid w:val="00C25408"/>
    <w:rsid w:val="00C25554"/>
    <w:rsid w:val="00C25751"/>
    <w:rsid w:val="00C2636D"/>
    <w:rsid w:val="00C2645D"/>
    <w:rsid w:val="00C26A78"/>
    <w:rsid w:val="00C27242"/>
    <w:rsid w:val="00C27259"/>
    <w:rsid w:val="00C279B5"/>
    <w:rsid w:val="00C27C45"/>
    <w:rsid w:val="00C27D6B"/>
    <w:rsid w:val="00C301B0"/>
    <w:rsid w:val="00C31578"/>
    <w:rsid w:val="00C3222A"/>
    <w:rsid w:val="00C33F82"/>
    <w:rsid w:val="00C340F5"/>
    <w:rsid w:val="00C3497D"/>
    <w:rsid w:val="00C35DB8"/>
    <w:rsid w:val="00C36FAD"/>
    <w:rsid w:val="00C3719D"/>
    <w:rsid w:val="00C37CB2"/>
    <w:rsid w:val="00C37F97"/>
    <w:rsid w:val="00C40800"/>
    <w:rsid w:val="00C42465"/>
    <w:rsid w:val="00C4293F"/>
    <w:rsid w:val="00C43813"/>
    <w:rsid w:val="00C445BE"/>
    <w:rsid w:val="00C44D28"/>
    <w:rsid w:val="00C450A5"/>
    <w:rsid w:val="00C4666C"/>
    <w:rsid w:val="00C46E6C"/>
    <w:rsid w:val="00C473A5"/>
    <w:rsid w:val="00C50F06"/>
    <w:rsid w:val="00C50F4E"/>
    <w:rsid w:val="00C5128D"/>
    <w:rsid w:val="00C51EFB"/>
    <w:rsid w:val="00C52E05"/>
    <w:rsid w:val="00C5312E"/>
    <w:rsid w:val="00C533B2"/>
    <w:rsid w:val="00C542A0"/>
    <w:rsid w:val="00C54710"/>
    <w:rsid w:val="00C54995"/>
    <w:rsid w:val="00C54C4D"/>
    <w:rsid w:val="00C54D41"/>
    <w:rsid w:val="00C54DC8"/>
    <w:rsid w:val="00C5541A"/>
    <w:rsid w:val="00C55CF0"/>
    <w:rsid w:val="00C56080"/>
    <w:rsid w:val="00C5671F"/>
    <w:rsid w:val="00C56BB3"/>
    <w:rsid w:val="00C574B9"/>
    <w:rsid w:val="00C57506"/>
    <w:rsid w:val="00C60783"/>
    <w:rsid w:val="00C6101C"/>
    <w:rsid w:val="00C61221"/>
    <w:rsid w:val="00C61371"/>
    <w:rsid w:val="00C619DA"/>
    <w:rsid w:val="00C623C5"/>
    <w:rsid w:val="00C627DA"/>
    <w:rsid w:val="00C62B8D"/>
    <w:rsid w:val="00C63931"/>
    <w:rsid w:val="00C63E69"/>
    <w:rsid w:val="00C64310"/>
    <w:rsid w:val="00C64672"/>
    <w:rsid w:val="00C65F1E"/>
    <w:rsid w:val="00C66D7F"/>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956"/>
    <w:rsid w:val="00C81C07"/>
    <w:rsid w:val="00C8244C"/>
    <w:rsid w:val="00C834D7"/>
    <w:rsid w:val="00C83793"/>
    <w:rsid w:val="00C838B5"/>
    <w:rsid w:val="00C83DAE"/>
    <w:rsid w:val="00C83DD7"/>
    <w:rsid w:val="00C84011"/>
    <w:rsid w:val="00C86282"/>
    <w:rsid w:val="00C862F8"/>
    <w:rsid w:val="00C86553"/>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467"/>
    <w:rsid w:val="00CA1ED8"/>
    <w:rsid w:val="00CA25BA"/>
    <w:rsid w:val="00CA34E2"/>
    <w:rsid w:val="00CA39A2"/>
    <w:rsid w:val="00CA3DE9"/>
    <w:rsid w:val="00CA3FFA"/>
    <w:rsid w:val="00CA43F2"/>
    <w:rsid w:val="00CA4708"/>
    <w:rsid w:val="00CA4944"/>
    <w:rsid w:val="00CA495D"/>
    <w:rsid w:val="00CA5626"/>
    <w:rsid w:val="00CA5871"/>
    <w:rsid w:val="00CA5C23"/>
    <w:rsid w:val="00CA63BF"/>
    <w:rsid w:val="00CA694C"/>
    <w:rsid w:val="00CA6BCF"/>
    <w:rsid w:val="00CA6EA4"/>
    <w:rsid w:val="00CA70A3"/>
    <w:rsid w:val="00CB1808"/>
    <w:rsid w:val="00CB18CE"/>
    <w:rsid w:val="00CB1906"/>
    <w:rsid w:val="00CB1995"/>
    <w:rsid w:val="00CB1F63"/>
    <w:rsid w:val="00CB271E"/>
    <w:rsid w:val="00CB2D0F"/>
    <w:rsid w:val="00CB322D"/>
    <w:rsid w:val="00CB3A0C"/>
    <w:rsid w:val="00CB3B8D"/>
    <w:rsid w:val="00CB4835"/>
    <w:rsid w:val="00CB4A0A"/>
    <w:rsid w:val="00CB4D1D"/>
    <w:rsid w:val="00CB53CE"/>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5481"/>
    <w:rsid w:val="00CC556C"/>
    <w:rsid w:val="00CC6AB6"/>
    <w:rsid w:val="00CC6EBD"/>
    <w:rsid w:val="00CC7A31"/>
    <w:rsid w:val="00CC7B45"/>
    <w:rsid w:val="00CC7DDB"/>
    <w:rsid w:val="00CD0945"/>
    <w:rsid w:val="00CD0BC5"/>
    <w:rsid w:val="00CD0BE9"/>
    <w:rsid w:val="00CD0E3C"/>
    <w:rsid w:val="00CD0ECD"/>
    <w:rsid w:val="00CD1188"/>
    <w:rsid w:val="00CD1D7F"/>
    <w:rsid w:val="00CD2ED1"/>
    <w:rsid w:val="00CD337B"/>
    <w:rsid w:val="00CD439B"/>
    <w:rsid w:val="00CD4933"/>
    <w:rsid w:val="00CD4FD0"/>
    <w:rsid w:val="00CD545D"/>
    <w:rsid w:val="00CD5FF9"/>
    <w:rsid w:val="00CD6EB7"/>
    <w:rsid w:val="00CE0424"/>
    <w:rsid w:val="00CE15B4"/>
    <w:rsid w:val="00CE2B99"/>
    <w:rsid w:val="00CE4055"/>
    <w:rsid w:val="00CE4F86"/>
    <w:rsid w:val="00CE5BAE"/>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222D"/>
    <w:rsid w:val="00D023AC"/>
    <w:rsid w:val="00D0349B"/>
    <w:rsid w:val="00D036B0"/>
    <w:rsid w:val="00D03E72"/>
    <w:rsid w:val="00D044EF"/>
    <w:rsid w:val="00D04779"/>
    <w:rsid w:val="00D0528E"/>
    <w:rsid w:val="00D05502"/>
    <w:rsid w:val="00D059D3"/>
    <w:rsid w:val="00D05DDC"/>
    <w:rsid w:val="00D0656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558"/>
    <w:rsid w:val="00D21B7C"/>
    <w:rsid w:val="00D22196"/>
    <w:rsid w:val="00D2285D"/>
    <w:rsid w:val="00D22F2A"/>
    <w:rsid w:val="00D239A7"/>
    <w:rsid w:val="00D23F47"/>
    <w:rsid w:val="00D24887"/>
    <w:rsid w:val="00D2542B"/>
    <w:rsid w:val="00D259FF"/>
    <w:rsid w:val="00D26777"/>
    <w:rsid w:val="00D26888"/>
    <w:rsid w:val="00D2785A"/>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9D3"/>
    <w:rsid w:val="00D43D5A"/>
    <w:rsid w:val="00D440F8"/>
    <w:rsid w:val="00D44BF6"/>
    <w:rsid w:val="00D44F9B"/>
    <w:rsid w:val="00D458DE"/>
    <w:rsid w:val="00D45D88"/>
    <w:rsid w:val="00D45F46"/>
    <w:rsid w:val="00D46BE9"/>
    <w:rsid w:val="00D46DD7"/>
    <w:rsid w:val="00D47A1C"/>
    <w:rsid w:val="00D47E64"/>
    <w:rsid w:val="00D51967"/>
    <w:rsid w:val="00D53DF3"/>
    <w:rsid w:val="00D546FF"/>
    <w:rsid w:val="00D550EA"/>
    <w:rsid w:val="00D55144"/>
    <w:rsid w:val="00D5572C"/>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8EE"/>
    <w:rsid w:val="00D73156"/>
    <w:rsid w:val="00D73238"/>
    <w:rsid w:val="00D7531F"/>
    <w:rsid w:val="00D753CF"/>
    <w:rsid w:val="00D7696D"/>
    <w:rsid w:val="00D76D3B"/>
    <w:rsid w:val="00D77640"/>
    <w:rsid w:val="00D77B1D"/>
    <w:rsid w:val="00D77CB1"/>
    <w:rsid w:val="00D77EC1"/>
    <w:rsid w:val="00D8021F"/>
    <w:rsid w:val="00D80383"/>
    <w:rsid w:val="00D81570"/>
    <w:rsid w:val="00D81DBA"/>
    <w:rsid w:val="00D8208A"/>
    <w:rsid w:val="00D823C6"/>
    <w:rsid w:val="00D82F75"/>
    <w:rsid w:val="00D8327F"/>
    <w:rsid w:val="00D83DB9"/>
    <w:rsid w:val="00D84C54"/>
    <w:rsid w:val="00D854BE"/>
    <w:rsid w:val="00D859DE"/>
    <w:rsid w:val="00D86BB2"/>
    <w:rsid w:val="00D86CA3"/>
    <w:rsid w:val="00D86CDB"/>
    <w:rsid w:val="00D87197"/>
    <w:rsid w:val="00D871CE"/>
    <w:rsid w:val="00D872BE"/>
    <w:rsid w:val="00D9196D"/>
    <w:rsid w:val="00D91AE1"/>
    <w:rsid w:val="00D91B33"/>
    <w:rsid w:val="00D92982"/>
    <w:rsid w:val="00D932FD"/>
    <w:rsid w:val="00D938CD"/>
    <w:rsid w:val="00D93A12"/>
    <w:rsid w:val="00D93B17"/>
    <w:rsid w:val="00D94C8C"/>
    <w:rsid w:val="00D95471"/>
    <w:rsid w:val="00D95CE9"/>
    <w:rsid w:val="00D967DE"/>
    <w:rsid w:val="00D97336"/>
    <w:rsid w:val="00D97414"/>
    <w:rsid w:val="00DA0BEF"/>
    <w:rsid w:val="00DA0BFD"/>
    <w:rsid w:val="00DA16B7"/>
    <w:rsid w:val="00DA17B8"/>
    <w:rsid w:val="00DA1D8F"/>
    <w:rsid w:val="00DA2601"/>
    <w:rsid w:val="00DA305E"/>
    <w:rsid w:val="00DA35A4"/>
    <w:rsid w:val="00DA4161"/>
    <w:rsid w:val="00DA4B6A"/>
    <w:rsid w:val="00DA51FD"/>
    <w:rsid w:val="00DA5326"/>
    <w:rsid w:val="00DA5417"/>
    <w:rsid w:val="00DA56E8"/>
    <w:rsid w:val="00DA5766"/>
    <w:rsid w:val="00DA7E97"/>
    <w:rsid w:val="00DB0A9F"/>
    <w:rsid w:val="00DB12F4"/>
    <w:rsid w:val="00DB2AB4"/>
    <w:rsid w:val="00DB2E98"/>
    <w:rsid w:val="00DB377D"/>
    <w:rsid w:val="00DB40D4"/>
    <w:rsid w:val="00DB4749"/>
    <w:rsid w:val="00DB4DB1"/>
    <w:rsid w:val="00DB66A4"/>
    <w:rsid w:val="00DB758C"/>
    <w:rsid w:val="00DB7BA5"/>
    <w:rsid w:val="00DC1B39"/>
    <w:rsid w:val="00DC2D36"/>
    <w:rsid w:val="00DC3B00"/>
    <w:rsid w:val="00DC4557"/>
    <w:rsid w:val="00DC53EF"/>
    <w:rsid w:val="00DC5AF5"/>
    <w:rsid w:val="00DC69C2"/>
    <w:rsid w:val="00DC6D77"/>
    <w:rsid w:val="00DC7BAC"/>
    <w:rsid w:val="00DD1251"/>
    <w:rsid w:val="00DD139D"/>
    <w:rsid w:val="00DD1BDC"/>
    <w:rsid w:val="00DD261D"/>
    <w:rsid w:val="00DD300C"/>
    <w:rsid w:val="00DD3CB5"/>
    <w:rsid w:val="00DD3D65"/>
    <w:rsid w:val="00DD53D0"/>
    <w:rsid w:val="00DD540A"/>
    <w:rsid w:val="00DD5BE2"/>
    <w:rsid w:val="00DD5CE4"/>
    <w:rsid w:val="00DD6040"/>
    <w:rsid w:val="00DD6A3A"/>
    <w:rsid w:val="00DD766C"/>
    <w:rsid w:val="00DE1D75"/>
    <w:rsid w:val="00DE33FE"/>
    <w:rsid w:val="00DE4E32"/>
    <w:rsid w:val="00DE5608"/>
    <w:rsid w:val="00DE58D0"/>
    <w:rsid w:val="00DE654F"/>
    <w:rsid w:val="00DE6BF2"/>
    <w:rsid w:val="00DE6D66"/>
    <w:rsid w:val="00DF02F8"/>
    <w:rsid w:val="00DF0355"/>
    <w:rsid w:val="00DF071C"/>
    <w:rsid w:val="00DF0B4B"/>
    <w:rsid w:val="00DF0B6E"/>
    <w:rsid w:val="00DF0BBE"/>
    <w:rsid w:val="00DF15E0"/>
    <w:rsid w:val="00DF1BB4"/>
    <w:rsid w:val="00DF2084"/>
    <w:rsid w:val="00DF29A9"/>
    <w:rsid w:val="00DF2F68"/>
    <w:rsid w:val="00DF37A0"/>
    <w:rsid w:val="00DF380A"/>
    <w:rsid w:val="00DF4ABD"/>
    <w:rsid w:val="00DF4FFA"/>
    <w:rsid w:val="00DF579F"/>
    <w:rsid w:val="00DF6BD9"/>
    <w:rsid w:val="00DF7C0F"/>
    <w:rsid w:val="00E00063"/>
    <w:rsid w:val="00E008CB"/>
    <w:rsid w:val="00E00BD3"/>
    <w:rsid w:val="00E00CC7"/>
    <w:rsid w:val="00E00CF2"/>
    <w:rsid w:val="00E015A1"/>
    <w:rsid w:val="00E018EE"/>
    <w:rsid w:val="00E02E18"/>
    <w:rsid w:val="00E03EEE"/>
    <w:rsid w:val="00E03F6D"/>
    <w:rsid w:val="00E04686"/>
    <w:rsid w:val="00E052FA"/>
    <w:rsid w:val="00E052FD"/>
    <w:rsid w:val="00E065A6"/>
    <w:rsid w:val="00E06FD7"/>
    <w:rsid w:val="00E07524"/>
    <w:rsid w:val="00E07783"/>
    <w:rsid w:val="00E07862"/>
    <w:rsid w:val="00E07876"/>
    <w:rsid w:val="00E07A18"/>
    <w:rsid w:val="00E10217"/>
    <w:rsid w:val="00E110E7"/>
    <w:rsid w:val="00E11582"/>
    <w:rsid w:val="00E1161C"/>
    <w:rsid w:val="00E11931"/>
    <w:rsid w:val="00E11A9C"/>
    <w:rsid w:val="00E11B20"/>
    <w:rsid w:val="00E11C0C"/>
    <w:rsid w:val="00E12E41"/>
    <w:rsid w:val="00E13554"/>
    <w:rsid w:val="00E14DBD"/>
    <w:rsid w:val="00E15307"/>
    <w:rsid w:val="00E159C7"/>
    <w:rsid w:val="00E168DF"/>
    <w:rsid w:val="00E17FA2"/>
    <w:rsid w:val="00E2093E"/>
    <w:rsid w:val="00E215AB"/>
    <w:rsid w:val="00E21A5E"/>
    <w:rsid w:val="00E21F3C"/>
    <w:rsid w:val="00E22330"/>
    <w:rsid w:val="00E236ED"/>
    <w:rsid w:val="00E2381B"/>
    <w:rsid w:val="00E2562B"/>
    <w:rsid w:val="00E25FF6"/>
    <w:rsid w:val="00E2690D"/>
    <w:rsid w:val="00E269E4"/>
    <w:rsid w:val="00E26D4A"/>
    <w:rsid w:val="00E27685"/>
    <w:rsid w:val="00E30717"/>
    <w:rsid w:val="00E30B35"/>
    <w:rsid w:val="00E30B5A"/>
    <w:rsid w:val="00E30FA2"/>
    <w:rsid w:val="00E3123D"/>
    <w:rsid w:val="00E31461"/>
    <w:rsid w:val="00E31D43"/>
    <w:rsid w:val="00E32608"/>
    <w:rsid w:val="00E3278D"/>
    <w:rsid w:val="00E34188"/>
    <w:rsid w:val="00E348E5"/>
    <w:rsid w:val="00E34B6E"/>
    <w:rsid w:val="00E34C69"/>
    <w:rsid w:val="00E35559"/>
    <w:rsid w:val="00E36C33"/>
    <w:rsid w:val="00E37149"/>
    <w:rsid w:val="00E3723A"/>
    <w:rsid w:val="00E37860"/>
    <w:rsid w:val="00E37AEC"/>
    <w:rsid w:val="00E37CD7"/>
    <w:rsid w:val="00E40496"/>
    <w:rsid w:val="00E40B4A"/>
    <w:rsid w:val="00E420BE"/>
    <w:rsid w:val="00E4260D"/>
    <w:rsid w:val="00E43263"/>
    <w:rsid w:val="00E446F1"/>
    <w:rsid w:val="00E44870"/>
    <w:rsid w:val="00E46886"/>
    <w:rsid w:val="00E46B43"/>
    <w:rsid w:val="00E4712D"/>
    <w:rsid w:val="00E473A5"/>
    <w:rsid w:val="00E479C7"/>
    <w:rsid w:val="00E47AEF"/>
    <w:rsid w:val="00E47EDE"/>
    <w:rsid w:val="00E505E9"/>
    <w:rsid w:val="00E50A7F"/>
    <w:rsid w:val="00E51361"/>
    <w:rsid w:val="00E51C1E"/>
    <w:rsid w:val="00E526C4"/>
    <w:rsid w:val="00E534F4"/>
    <w:rsid w:val="00E53B4B"/>
    <w:rsid w:val="00E53B75"/>
    <w:rsid w:val="00E53CDB"/>
    <w:rsid w:val="00E53F51"/>
    <w:rsid w:val="00E54D7E"/>
    <w:rsid w:val="00E54E3B"/>
    <w:rsid w:val="00E56478"/>
    <w:rsid w:val="00E56899"/>
    <w:rsid w:val="00E569C7"/>
    <w:rsid w:val="00E56A9A"/>
    <w:rsid w:val="00E56D10"/>
    <w:rsid w:val="00E57377"/>
    <w:rsid w:val="00E57565"/>
    <w:rsid w:val="00E579A3"/>
    <w:rsid w:val="00E60141"/>
    <w:rsid w:val="00E60321"/>
    <w:rsid w:val="00E60A4E"/>
    <w:rsid w:val="00E62388"/>
    <w:rsid w:val="00E62DCF"/>
    <w:rsid w:val="00E63838"/>
    <w:rsid w:val="00E63976"/>
    <w:rsid w:val="00E64434"/>
    <w:rsid w:val="00E64441"/>
    <w:rsid w:val="00E6450A"/>
    <w:rsid w:val="00E64935"/>
    <w:rsid w:val="00E64BDA"/>
    <w:rsid w:val="00E65DE6"/>
    <w:rsid w:val="00E65F0B"/>
    <w:rsid w:val="00E66076"/>
    <w:rsid w:val="00E660DB"/>
    <w:rsid w:val="00E6694C"/>
    <w:rsid w:val="00E675CF"/>
    <w:rsid w:val="00E67C51"/>
    <w:rsid w:val="00E7065D"/>
    <w:rsid w:val="00E724E5"/>
    <w:rsid w:val="00E72E82"/>
    <w:rsid w:val="00E72EFC"/>
    <w:rsid w:val="00E73019"/>
    <w:rsid w:val="00E75523"/>
    <w:rsid w:val="00E758EC"/>
    <w:rsid w:val="00E76978"/>
    <w:rsid w:val="00E803DD"/>
    <w:rsid w:val="00E8234C"/>
    <w:rsid w:val="00E8274F"/>
    <w:rsid w:val="00E827E0"/>
    <w:rsid w:val="00E82863"/>
    <w:rsid w:val="00E82FEF"/>
    <w:rsid w:val="00E8371B"/>
    <w:rsid w:val="00E83813"/>
    <w:rsid w:val="00E838B0"/>
    <w:rsid w:val="00E83AA9"/>
    <w:rsid w:val="00E84572"/>
    <w:rsid w:val="00E8506C"/>
    <w:rsid w:val="00E85681"/>
    <w:rsid w:val="00E85928"/>
    <w:rsid w:val="00E85AE5"/>
    <w:rsid w:val="00E870D5"/>
    <w:rsid w:val="00E875E6"/>
    <w:rsid w:val="00E87822"/>
    <w:rsid w:val="00E87FA1"/>
    <w:rsid w:val="00E90395"/>
    <w:rsid w:val="00E90E49"/>
    <w:rsid w:val="00E911C6"/>
    <w:rsid w:val="00E917F9"/>
    <w:rsid w:val="00E9291C"/>
    <w:rsid w:val="00E93596"/>
    <w:rsid w:val="00E938CC"/>
    <w:rsid w:val="00E93FFE"/>
    <w:rsid w:val="00E946D7"/>
    <w:rsid w:val="00E947B0"/>
    <w:rsid w:val="00E94F8A"/>
    <w:rsid w:val="00E9522A"/>
    <w:rsid w:val="00E961DE"/>
    <w:rsid w:val="00E96DFD"/>
    <w:rsid w:val="00E97804"/>
    <w:rsid w:val="00EA095E"/>
    <w:rsid w:val="00EA0BA0"/>
    <w:rsid w:val="00EA1885"/>
    <w:rsid w:val="00EA1E42"/>
    <w:rsid w:val="00EA29BC"/>
    <w:rsid w:val="00EA3B67"/>
    <w:rsid w:val="00EA3DAA"/>
    <w:rsid w:val="00EA4F7C"/>
    <w:rsid w:val="00EA571C"/>
    <w:rsid w:val="00EA57C9"/>
    <w:rsid w:val="00EA5A48"/>
    <w:rsid w:val="00EA5D32"/>
    <w:rsid w:val="00EA617D"/>
    <w:rsid w:val="00EA7A41"/>
    <w:rsid w:val="00EB01DF"/>
    <w:rsid w:val="00EB077B"/>
    <w:rsid w:val="00EB0C4D"/>
    <w:rsid w:val="00EB1120"/>
    <w:rsid w:val="00EB11D7"/>
    <w:rsid w:val="00EB40EB"/>
    <w:rsid w:val="00EB4EA2"/>
    <w:rsid w:val="00EB56C3"/>
    <w:rsid w:val="00EC083D"/>
    <w:rsid w:val="00EC0D64"/>
    <w:rsid w:val="00EC1045"/>
    <w:rsid w:val="00EC16B4"/>
    <w:rsid w:val="00EC19C9"/>
    <w:rsid w:val="00EC2066"/>
    <w:rsid w:val="00EC24D5"/>
    <w:rsid w:val="00EC27C6"/>
    <w:rsid w:val="00EC2C25"/>
    <w:rsid w:val="00EC4207"/>
    <w:rsid w:val="00EC4447"/>
    <w:rsid w:val="00EC49E6"/>
    <w:rsid w:val="00EC5653"/>
    <w:rsid w:val="00EC568E"/>
    <w:rsid w:val="00EC5F82"/>
    <w:rsid w:val="00EC6C7F"/>
    <w:rsid w:val="00EC6E03"/>
    <w:rsid w:val="00EC71CE"/>
    <w:rsid w:val="00EC758F"/>
    <w:rsid w:val="00EC794B"/>
    <w:rsid w:val="00EC7CAE"/>
    <w:rsid w:val="00ED1006"/>
    <w:rsid w:val="00ED1141"/>
    <w:rsid w:val="00ED121D"/>
    <w:rsid w:val="00ED1A41"/>
    <w:rsid w:val="00ED204E"/>
    <w:rsid w:val="00ED2E2F"/>
    <w:rsid w:val="00ED2E7D"/>
    <w:rsid w:val="00ED32A1"/>
    <w:rsid w:val="00ED3583"/>
    <w:rsid w:val="00ED3C5D"/>
    <w:rsid w:val="00ED406E"/>
    <w:rsid w:val="00ED40A2"/>
    <w:rsid w:val="00ED69CD"/>
    <w:rsid w:val="00ED69E6"/>
    <w:rsid w:val="00ED6A7D"/>
    <w:rsid w:val="00ED6C52"/>
    <w:rsid w:val="00EE07E6"/>
    <w:rsid w:val="00EE0DE3"/>
    <w:rsid w:val="00EE173D"/>
    <w:rsid w:val="00EE1CF4"/>
    <w:rsid w:val="00EE2034"/>
    <w:rsid w:val="00EE283F"/>
    <w:rsid w:val="00EE29C6"/>
    <w:rsid w:val="00EE2B48"/>
    <w:rsid w:val="00EE427A"/>
    <w:rsid w:val="00EE435A"/>
    <w:rsid w:val="00EE4AAB"/>
    <w:rsid w:val="00EE4F13"/>
    <w:rsid w:val="00EE5151"/>
    <w:rsid w:val="00EE5784"/>
    <w:rsid w:val="00EE5949"/>
    <w:rsid w:val="00EE68A5"/>
    <w:rsid w:val="00EE7FA2"/>
    <w:rsid w:val="00EF022D"/>
    <w:rsid w:val="00EF02F5"/>
    <w:rsid w:val="00EF049B"/>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6356"/>
    <w:rsid w:val="00EF7760"/>
    <w:rsid w:val="00F00FE8"/>
    <w:rsid w:val="00F014C8"/>
    <w:rsid w:val="00F016ED"/>
    <w:rsid w:val="00F01C09"/>
    <w:rsid w:val="00F01DC3"/>
    <w:rsid w:val="00F0263A"/>
    <w:rsid w:val="00F02999"/>
    <w:rsid w:val="00F048BB"/>
    <w:rsid w:val="00F04A6E"/>
    <w:rsid w:val="00F04D42"/>
    <w:rsid w:val="00F051B7"/>
    <w:rsid w:val="00F0528D"/>
    <w:rsid w:val="00F06C67"/>
    <w:rsid w:val="00F06DFD"/>
    <w:rsid w:val="00F071D1"/>
    <w:rsid w:val="00F073B9"/>
    <w:rsid w:val="00F07533"/>
    <w:rsid w:val="00F1025E"/>
    <w:rsid w:val="00F104BF"/>
    <w:rsid w:val="00F10629"/>
    <w:rsid w:val="00F108ED"/>
    <w:rsid w:val="00F10AF0"/>
    <w:rsid w:val="00F11333"/>
    <w:rsid w:val="00F1134F"/>
    <w:rsid w:val="00F12AA0"/>
    <w:rsid w:val="00F12F62"/>
    <w:rsid w:val="00F12FE5"/>
    <w:rsid w:val="00F130CB"/>
    <w:rsid w:val="00F1407B"/>
    <w:rsid w:val="00F14B44"/>
    <w:rsid w:val="00F14D3E"/>
    <w:rsid w:val="00F15975"/>
    <w:rsid w:val="00F15FA5"/>
    <w:rsid w:val="00F1621E"/>
    <w:rsid w:val="00F167F1"/>
    <w:rsid w:val="00F209B7"/>
    <w:rsid w:val="00F20E56"/>
    <w:rsid w:val="00F210B5"/>
    <w:rsid w:val="00F2376F"/>
    <w:rsid w:val="00F2389B"/>
    <w:rsid w:val="00F243D8"/>
    <w:rsid w:val="00F25860"/>
    <w:rsid w:val="00F261F1"/>
    <w:rsid w:val="00F26A94"/>
    <w:rsid w:val="00F27022"/>
    <w:rsid w:val="00F30668"/>
    <w:rsid w:val="00F30739"/>
    <w:rsid w:val="00F30828"/>
    <w:rsid w:val="00F308A2"/>
    <w:rsid w:val="00F310D2"/>
    <w:rsid w:val="00F313D6"/>
    <w:rsid w:val="00F3202A"/>
    <w:rsid w:val="00F3244C"/>
    <w:rsid w:val="00F329EA"/>
    <w:rsid w:val="00F32B28"/>
    <w:rsid w:val="00F33E66"/>
    <w:rsid w:val="00F34ACA"/>
    <w:rsid w:val="00F360BD"/>
    <w:rsid w:val="00F36E19"/>
    <w:rsid w:val="00F37847"/>
    <w:rsid w:val="00F37A23"/>
    <w:rsid w:val="00F37F61"/>
    <w:rsid w:val="00F402A0"/>
    <w:rsid w:val="00F40489"/>
    <w:rsid w:val="00F40BC4"/>
    <w:rsid w:val="00F40F0C"/>
    <w:rsid w:val="00F41655"/>
    <w:rsid w:val="00F41F2C"/>
    <w:rsid w:val="00F420E7"/>
    <w:rsid w:val="00F42187"/>
    <w:rsid w:val="00F426EC"/>
    <w:rsid w:val="00F4331A"/>
    <w:rsid w:val="00F4380C"/>
    <w:rsid w:val="00F449AF"/>
    <w:rsid w:val="00F45CCA"/>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312E"/>
    <w:rsid w:val="00F539C7"/>
    <w:rsid w:val="00F53BA5"/>
    <w:rsid w:val="00F53CFE"/>
    <w:rsid w:val="00F53F68"/>
    <w:rsid w:val="00F556B3"/>
    <w:rsid w:val="00F55D56"/>
    <w:rsid w:val="00F57226"/>
    <w:rsid w:val="00F5776E"/>
    <w:rsid w:val="00F60203"/>
    <w:rsid w:val="00F60301"/>
    <w:rsid w:val="00F607C5"/>
    <w:rsid w:val="00F60DEA"/>
    <w:rsid w:val="00F625B8"/>
    <w:rsid w:val="00F62B7E"/>
    <w:rsid w:val="00F6302A"/>
    <w:rsid w:val="00F63950"/>
    <w:rsid w:val="00F64C2B"/>
    <w:rsid w:val="00F651BE"/>
    <w:rsid w:val="00F65C45"/>
    <w:rsid w:val="00F660D8"/>
    <w:rsid w:val="00F665A5"/>
    <w:rsid w:val="00F66E47"/>
    <w:rsid w:val="00F677F0"/>
    <w:rsid w:val="00F67AD5"/>
    <w:rsid w:val="00F67DC9"/>
    <w:rsid w:val="00F67F53"/>
    <w:rsid w:val="00F7004C"/>
    <w:rsid w:val="00F703BE"/>
    <w:rsid w:val="00F70FBF"/>
    <w:rsid w:val="00F7121C"/>
    <w:rsid w:val="00F71781"/>
    <w:rsid w:val="00F71F69"/>
    <w:rsid w:val="00F720DC"/>
    <w:rsid w:val="00F723BC"/>
    <w:rsid w:val="00F72B72"/>
    <w:rsid w:val="00F736A3"/>
    <w:rsid w:val="00F74BB9"/>
    <w:rsid w:val="00F75582"/>
    <w:rsid w:val="00F76A3C"/>
    <w:rsid w:val="00F76EFA"/>
    <w:rsid w:val="00F77A87"/>
    <w:rsid w:val="00F77E36"/>
    <w:rsid w:val="00F804BE"/>
    <w:rsid w:val="00F81147"/>
    <w:rsid w:val="00F817CE"/>
    <w:rsid w:val="00F8209D"/>
    <w:rsid w:val="00F82DB1"/>
    <w:rsid w:val="00F830DE"/>
    <w:rsid w:val="00F83288"/>
    <w:rsid w:val="00F8456C"/>
    <w:rsid w:val="00F84EB6"/>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54"/>
    <w:rsid w:val="00F94EC3"/>
    <w:rsid w:val="00F950EA"/>
    <w:rsid w:val="00F953FB"/>
    <w:rsid w:val="00F95526"/>
    <w:rsid w:val="00F96404"/>
    <w:rsid w:val="00F96538"/>
    <w:rsid w:val="00F967B2"/>
    <w:rsid w:val="00F96955"/>
    <w:rsid w:val="00F96985"/>
    <w:rsid w:val="00F96CC8"/>
    <w:rsid w:val="00F97838"/>
    <w:rsid w:val="00FA25C8"/>
    <w:rsid w:val="00FA2BB3"/>
    <w:rsid w:val="00FA3B46"/>
    <w:rsid w:val="00FA427A"/>
    <w:rsid w:val="00FA431D"/>
    <w:rsid w:val="00FA4F4A"/>
    <w:rsid w:val="00FB0742"/>
    <w:rsid w:val="00FB0C2E"/>
    <w:rsid w:val="00FB437A"/>
    <w:rsid w:val="00FB49BF"/>
    <w:rsid w:val="00FB4C80"/>
    <w:rsid w:val="00FB599B"/>
    <w:rsid w:val="00FB5C68"/>
    <w:rsid w:val="00FB5DDD"/>
    <w:rsid w:val="00FB6A6A"/>
    <w:rsid w:val="00FC0906"/>
    <w:rsid w:val="00FC0D30"/>
    <w:rsid w:val="00FC11A5"/>
    <w:rsid w:val="00FC12F8"/>
    <w:rsid w:val="00FC12FA"/>
    <w:rsid w:val="00FC1780"/>
    <w:rsid w:val="00FC179B"/>
    <w:rsid w:val="00FC1AC4"/>
    <w:rsid w:val="00FC3846"/>
    <w:rsid w:val="00FC3928"/>
    <w:rsid w:val="00FC3B56"/>
    <w:rsid w:val="00FC3C3B"/>
    <w:rsid w:val="00FC412B"/>
    <w:rsid w:val="00FC5582"/>
    <w:rsid w:val="00FC64DE"/>
    <w:rsid w:val="00FC7429"/>
    <w:rsid w:val="00FD07F6"/>
    <w:rsid w:val="00FD1EC8"/>
    <w:rsid w:val="00FD1ED0"/>
    <w:rsid w:val="00FD1F77"/>
    <w:rsid w:val="00FD264E"/>
    <w:rsid w:val="00FD3920"/>
    <w:rsid w:val="00FD4118"/>
    <w:rsid w:val="00FD4180"/>
    <w:rsid w:val="00FD47ED"/>
    <w:rsid w:val="00FD4E04"/>
    <w:rsid w:val="00FD5ADD"/>
    <w:rsid w:val="00FD5FDF"/>
    <w:rsid w:val="00FD6000"/>
    <w:rsid w:val="00FD7268"/>
    <w:rsid w:val="00FD74DB"/>
    <w:rsid w:val="00FD7660"/>
    <w:rsid w:val="00FE00C1"/>
    <w:rsid w:val="00FE0655"/>
    <w:rsid w:val="00FE14E4"/>
    <w:rsid w:val="00FE1C0B"/>
    <w:rsid w:val="00FE2365"/>
    <w:rsid w:val="00FE26F3"/>
    <w:rsid w:val="00FE2728"/>
    <w:rsid w:val="00FE32BC"/>
    <w:rsid w:val="00FE37D7"/>
    <w:rsid w:val="00FE47DC"/>
    <w:rsid w:val="00FE4C7B"/>
    <w:rsid w:val="00FE4FF9"/>
    <w:rsid w:val="00FE582B"/>
    <w:rsid w:val="00FE62EA"/>
    <w:rsid w:val="00FE68F6"/>
    <w:rsid w:val="00FE7336"/>
    <w:rsid w:val="00FE785E"/>
    <w:rsid w:val="00FE787C"/>
    <w:rsid w:val="00FE7CE4"/>
    <w:rsid w:val="00FF0798"/>
    <w:rsid w:val="00FF1509"/>
    <w:rsid w:val="00FF1FE3"/>
    <w:rsid w:val="00FF32E4"/>
    <w:rsid w:val="00FF3353"/>
    <w:rsid w:val="00FF387A"/>
    <w:rsid w:val="00FF42D2"/>
    <w:rsid w:val="00FF45A5"/>
    <w:rsid w:val="00FF5247"/>
    <w:rsid w:val="00FF56CD"/>
    <w:rsid w:val="00FF5C91"/>
    <w:rsid w:val="00FF68C5"/>
    <w:rsid w:val="00FF7260"/>
    <w:rsid w:val="00FF77E1"/>
    <w:rsid w:val="011D538D"/>
    <w:rsid w:val="013F0AEF"/>
    <w:rsid w:val="019C2519"/>
    <w:rsid w:val="019E78DD"/>
    <w:rsid w:val="021E3335"/>
    <w:rsid w:val="025B7A45"/>
    <w:rsid w:val="02FE79FE"/>
    <w:rsid w:val="03412554"/>
    <w:rsid w:val="03764359"/>
    <w:rsid w:val="03EE7407"/>
    <w:rsid w:val="04013D0E"/>
    <w:rsid w:val="044B36AE"/>
    <w:rsid w:val="0479467E"/>
    <w:rsid w:val="062F07EF"/>
    <w:rsid w:val="08022EE5"/>
    <w:rsid w:val="08774C42"/>
    <w:rsid w:val="087C2354"/>
    <w:rsid w:val="08AA3361"/>
    <w:rsid w:val="08B35707"/>
    <w:rsid w:val="08F326B2"/>
    <w:rsid w:val="09B32689"/>
    <w:rsid w:val="09BF10B0"/>
    <w:rsid w:val="09C96293"/>
    <w:rsid w:val="0AA255F4"/>
    <w:rsid w:val="0AA349BF"/>
    <w:rsid w:val="0B094157"/>
    <w:rsid w:val="0C532174"/>
    <w:rsid w:val="0C540C92"/>
    <w:rsid w:val="0C5F1A54"/>
    <w:rsid w:val="0C850DE0"/>
    <w:rsid w:val="0CB200C5"/>
    <w:rsid w:val="0CE54064"/>
    <w:rsid w:val="0CF366ED"/>
    <w:rsid w:val="0D7101C9"/>
    <w:rsid w:val="0D870F11"/>
    <w:rsid w:val="0F5F6319"/>
    <w:rsid w:val="0F821C15"/>
    <w:rsid w:val="0F9A326F"/>
    <w:rsid w:val="0FB21E9A"/>
    <w:rsid w:val="102D625B"/>
    <w:rsid w:val="10A02A15"/>
    <w:rsid w:val="10D802F8"/>
    <w:rsid w:val="10FA1C8B"/>
    <w:rsid w:val="1138564F"/>
    <w:rsid w:val="114535BD"/>
    <w:rsid w:val="11C155AF"/>
    <w:rsid w:val="11DC229F"/>
    <w:rsid w:val="12E110C3"/>
    <w:rsid w:val="139A1AD4"/>
    <w:rsid w:val="13DC1FB6"/>
    <w:rsid w:val="13F00BBF"/>
    <w:rsid w:val="14434483"/>
    <w:rsid w:val="14CD25DC"/>
    <w:rsid w:val="14D06576"/>
    <w:rsid w:val="14FC16F8"/>
    <w:rsid w:val="14FD01F5"/>
    <w:rsid w:val="15122000"/>
    <w:rsid w:val="152B3697"/>
    <w:rsid w:val="15476010"/>
    <w:rsid w:val="16236B45"/>
    <w:rsid w:val="16D90A2F"/>
    <w:rsid w:val="16ED44DA"/>
    <w:rsid w:val="16FC64CC"/>
    <w:rsid w:val="17187690"/>
    <w:rsid w:val="17FF3775"/>
    <w:rsid w:val="180C0990"/>
    <w:rsid w:val="18133DAD"/>
    <w:rsid w:val="18733564"/>
    <w:rsid w:val="187C4654"/>
    <w:rsid w:val="18B7333C"/>
    <w:rsid w:val="193C5348"/>
    <w:rsid w:val="19462B05"/>
    <w:rsid w:val="19F459BE"/>
    <w:rsid w:val="1B212E8F"/>
    <w:rsid w:val="1B8A22F8"/>
    <w:rsid w:val="1C306863"/>
    <w:rsid w:val="1C404C21"/>
    <w:rsid w:val="1C644267"/>
    <w:rsid w:val="1C891335"/>
    <w:rsid w:val="1C9176B6"/>
    <w:rsid w:val="1CB81069"/>
    <w:rsid w:val="1CC04241"/>
    <w:rsid w:val="1CF9491F"/>
    <w:rsid w:val="1D9A36FD"/>
    <w:rsid w:val="1D9D258E"/>
    <w:rsid w:val="1DE06D8D"/>
    <w:rsid w:val="1E772552"/>
    <w:rsid w:val="1E9D6337"/>
    <w:rsid w:val="1EBD3E36"/>
    <w:rsid w:val="1EC45DFE"/>
    <w:rsid w:val="1F2108E2"/>
    <w:rsid w:val="1F2918C4"/>
    <w:rsid w:val="1F3D3902"/>
    <w:rsid w:val="1F3F789D"/>
    <w:rsid w:val="1FF10E9A"/>
    <w:rsid w:val="209C2837"/>
    <w:rsid w:val="20CE2C87"/>
    <w:rsid w:val="215C449A"/>
    <w:rsid w:val="21810580"/>
    <w:rsid w:val="21C877CC"/>
    <w:rsid w:val="23515DF1"/>
    <w:rsid w:val="23716593"/>
    <w:rsid w:val="23C83004"/>
    <w:rsid w:val="23DB0253"/>
    <w:rsid w:val="24C2363F"/>
    <w:rsid w:val="24E231A5"/>
    <w:rsid w:val="25874A9E"/>
    <w:rsid w:val="25D03C58"/>
    <w:rsid w:val="25D92BF1"/>
    <w:rsid w:val="25EB62D5"/>
    <w:rsid w:val="25FF1B34"/>
    <w:rsid w:val="264803D1"/>
    <w:rsid w:val="266F1ECA"/>
    <w:rsid w:val="27230D68"/>
    <w:rsid w:val="272C4BAB"/>
    <w:rsid w:val="27FA0805"/>
    <w:rsid w:val="285C6DCA"/>
    <w:rsid w:val="29DA44BB"/>
    <w:rsid w:val="2A043BBD"/>
    <w:rsid w:val="2AD93FA3"/>
    <w:rsid w:val="2AF855A7"/>
    <w:rsid w:val="2B4440C3"/>
    <w:rsid w:val="2C3A1266"/>
    <w:rsid w:val="2C536973"/>
    <w:rsid w:val="2C636EDA"/>
    <w:rsid w:val="2D323189"/>
    <w:rsid w:val="2DA64439"/>
    <w:rsid w:val="2DE25BF2"/>
    <w:rsid w:val="2E11085D"/>
    <w:rsid w:val="2EC86CD7"/>
    <w:rsid w:val="2EEE5B4C"/>
    <w:rsid w:val="2F13023F"/>
    <w:rsid w:val="2F5E3C7F"/>
    <w:rsid w:val="2F83662C"/>
    <w:rsid w:val="308E05D1"/>
    <w:rsid w:val="30FF4A39"/>
    <w:rsid w:val="319B7AF6"/>
    <w:rsid w:val="319D704A"/>
    <w:rsid w:val="31FF65F3"/>
    <w:rsid w:val="32072E1B"/>
    <w:rsid w:val="328916B1"/>
    <w:rsid w:val="32A75B13"/>
    <w:rsid w:val="332D4379"/>
    <w:rsid w:val="343432F1"/>
    <w:rsid w:val="350D601C"/>
    <w:rsid w:val="35EF29CF"/>
    <w:rsid w:val="36997A13"/>
    <w:rsid w:val="36F316A0"/>
    <w:rsid w:val="37235A7B"/>
    <w:rsid w:val="372F6F43"/>
    <w:rsid w:val="373750A4"/>
    <w:rsid w:val="37550509"/>
    <w:rsid w:val="3759490C"/>
    <w:rsid w:val="389A2654"/>
    <w:rsid w:val="3907624F"/>
    <w:rsid w:val="395104A1"/>
    <w:rsid w:val="3A5F127F"/>
    <w:rsid w:val="3A751E27"/>
    <w:rsid w:val="3ACB43D0"/>
    <w:rsid w:val="3B482958"/>
    <w:rsid w:val="3B4863B5"/>
    <w:rsid w:val="3B783AC3"/>
    <w:rsid w:val="3C485F06"/>
    <w:rsid w:val="3C514B1A"/>
    <w:rsid w:val="3C5E7CE5"/>
    <w:rsid w:val="3CFF3AAE"/>
    <w:rsid w:val="3D866124"/>
    <w:rsid w:val="3E537926"/>
    <w:rsid w:val="3EAC2F7C"/>
    <w:rsid w:val="3EE02022"/>
    <w:rsid w:val="3EFA5048"/>
    <w:rsid w:val="407F2EB0"/>
    <w:rsid w:val="41233E42"/>
    <w:rsid w:val="41473F10"/>
    <w:rsid w:val="41932532"/>
    <w:rsid w:val="419B0BD8"/>
    <w:rsid w:val="42AE0712"/>
    <w:rsid w:val="43212C92"/>
    <w:rsid w:val="433504EC"/>
    <w:rsid w:val="43381FAF"/>
    <w:rsid w:val="43DB426A"/>
    <w:rsid w:val="44041293"/>
    <w:rsid w:val="44472BCC"/>
    <w:rsid w:val="44F27DA9"/>
    <w:rsid w:val="453B2F1D"/>
    <w:rsid w:val="456F1680"/>
    <w:rsid w:val="45D67D64"/>
    <w:rsid w:val="45E67EC7"/>
    <w:rsid w:val="465B639A"/>
    <w:rsid w:val="46E57AC0"/>
    <w:rsid w:val="47022D7D"/>
    <w:rsid w:val="47102967"/>
    <w:rsid w:val="472B40E0"/>
    <w:rsid w:val="491A61EA"/>
    <w:rsid w:val="4A336E15"/>
    <w:rsid w:val="4A630C85"/>
    <w:rsid w:val="4A826C39"/>
    <w:rsid w:val="4A8670DD"/>
    <w:rsid w:val="4A8A4F3F"/>
    <w:rsid w:val="4AB13907"/>
    <w:rsid w:val="4BCD61D2"/>
    <w:rsid w:val="4C433C79"/>
    <w:rsid w:val="4C9952B8"/>
    <w:rsid w:val="4CD314A1"/>
    <w:rsid w:val="4D675D69"/>
    <w:rsid w:val="4D812130"/>
    <w:rsid w:val="4E192EE4"/>
    <w:rsid w:val="4E8C5DAC"/>
    <w:rsid w:val="4ED47F17"/>
    <w:rsid w:val="4EE54456"/>
    <w:rsid w:val="4EFD4F1D"/>
    <w:rsid w:val="4F760C6D"/>
    <w:rsid w:val="500D047B"/>
    <w:rsid w:val="502A2B49"/>
    <w:rsid w:val="504D31EC"/>
    <w:rsid w:val="50B129D4"/>
    <w:rsid w:val="51051E45"/>
    <w:rsid w:val="51430D10"/>
    <w:rsid w:val="52554CD8"/>
    <w:rsid w:val="525B7A37"/>
    <w:rsid w:val="53422BD9"/>
    <w:rsid w:val="54B95421"/>
    <w:rsid w:val="54F35804"/>
    <w:rsid w:val="550F04EE"/>
    <w:rsid w:val="56764C4B"/>
    <w:rsid w:val="57594DFF"/>
    <w:rsid w:val="57E841D4"/>
    <w:rsid w:val="58001560"/>
    <w:rsid w:val="592A7AD3"/>
    <w:rsid w:val="59D041AD"/>
    <w:rsid w:val="5A3D7F5A"/>
    <w:rsid w:val="5B681E4A"/>
    <w:rsid w:val="5BB07857"/>
    <w:rsid w:val="5C0F4EA5"/>
    <w:rsid w:val="5C10300E"/>
    <w:rsid w:val="5C145E6E"/>
    <w:rsid w:val="5C6418A2"/>
    <w:rsid w:val="5CB83980"/>
    <w:rsid w:val="5D8722A0"/>
    <w:rsid w:val="5DA6050C"/>
    <w:rsid w:val="5E082F75"/>
    <w:rsid w:val="60906921"/>
    <w:rsid w:val="60BB5B92"/>
    <w:rsid w:val="60BE2C44"/>
    <w:rsid w:val="6194783C"/>
    <w:rsid w:val="61C60942"/>
    <w:rsid w:val="623163AB"/>
    <w:rsid w:val="623D5E73"/>
    <w:rsid w:val="625F47C5"/>
    <w:rsid w:val="63FA773C"/>
    <w:rsid w:val="64165E03"/>
    <w:rsid w:val="64BE6346"/>
    <w:rsid w:val="64E002F7"/>
    <w:rsid w:val="64ED11C3"/>
    <w:rsid w:val="651D342C"/>
    <w:rsid w:val="654C170B"/>
    <w:rsid w:val="65EA0CE4"/>
    <w:rsid w:val="66A4646F"/>
    <w:rsid w:val="67027F47"/>
    <w:rsid w:val="677A3DE6"/>
    <w:rsid w:val="677A7653"/>
    <w:rsid w:val="67BC6D33"/>
    <w:rsid w:val="67C5639E"/>
    <w:rsid w:val="68090234"/>
    <w:rsid w:val="682D082C"/>
    <w:rsid w:val="68620403"/>
    <w:rsid w:val="688223D6"/>
    <w:rsid w:val="69851B9E"/>
    <w:rsid w:val="69AC07FF"/>
    <w:rsid w:val="69B92479"/>
    <w:rsid w:val="69DC1418"/>
    <w:rsid w:val="6A611863"/>
    <w:rsid w:val="6B411DD0"/>
    <w:rsid w:val="6B543CEF"/>
    <w:rsid w:val="6BA623D1"/>
    <w:rsid w:val="6C70058B"/>
    <w:rsid w:val="6CDE0FB8"/>
    <w:rsid w:val="6CF37F5A"/>
    <w:rsid w:val="6D8D0DA1"/>
    <w:rsid w:val="6DC74D79"/>
    <w:rsid w:val="6DE739AA"/>
    <w:rsid w:val="6DF83F53"/>
    <w:rsid w:val="6E0757AF"/>
    <w:rsid w:val="6EF110B8"/>
    <w:rsid w:val="6F59718C"/>
    <w:rsid w:val="700874A1"/>
    <w:rsid w:val="70E05800"/>
    <w:rsid w:val="711C6FAF"/>
    <w:rsid w:val="71805F00"/>
    <w:rsid w:val="71FB30C7"/>
    <w:rsid w:val="72264492"/>
    <w:rsid w:val="722B67CA"/>
    <w:rsid w:val="726755B9"/>
    <w:rsid w:val="7289422C"/>
    <w:rsid w:val="732030F4"/>
    <w:rsid w:val="732813D9"/>
    <w:rsid w:val="737E5413"/>
    <w:rsid w:val="74111754"/>
    <w:rsid w:val="74845A4A"/>
    <w:rsid w:val="751D41E9"/>
    <w:rsid w:val="75DB1BA2"/>
    <w:rsid w:val="75EB0D5A"/>
    <w:rsid w:val="76B03F21"/>
    <w:rsid w:val="77721026"/>
    <w:rsid w:val="78245EA6"/>
    <w:rsid w:val="78383202"/>
    <w:rsid w:val="79095F6B"/>
    <w:rsid w:val="79280D61"/>
    <w:rsid w:val="796E53E9"/>
    <w:rsid w:val="79764A4E"/>
    <w:rsid w:val="799B7171"/>
    <w:rsid w:val="79D97279"/>
    <w:rsid w:val="79EE1666"/>
    <w:rsid w:val="7A247FB3"/>
    <w:rsid w:val="7A363246"/>
    <w:rsid w:val="7A694471"/>
    <w:rsid w:val="7ABE6B0E"/>
    <w:rsid w:val="7BA45C33"/>
    <w:rsid w:val="7BF32EFA"/>
    <w:rsid w:val="7DD86068"/>
    <w:rsid w:val="7E9F7BA7"/>
    <w:rsid w:val="7F6B2D71"/>
    <w:rsid w:val="7FA21DFA"/>
    <w:rsid w:val="7FAC50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next w:val="1"/>
    <w:link w:val="7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127"/>
    <w:qFormat/>
    <w:uiPriority w:val="0"/>
    <w:pPr>
      <w:numPr>
        <w:ilvl w:val="1"/>
      </w:numPr>
      <w:pBdr>
        <w:top w:val="none" w:color="auto" w:sz="0" w:space="0"/>
      </w:pBdr>
      <w:spacing w:before="180"/>
      <w:outlineLvl w:val="1"/>
    </w:pPr>
    <w:rPr>
      <w:sz w:val="32"/>
    </w:rPr>
  </w:style>
  <w:style w:type="paragraph" w:styleId="4">
    <w:name w:val="heading 3"/>
    <w:basedOn w:val="3"/>
    <w:next w:val="1"/>
    <w:link w:val="128"/>
    <w:qFormat/>
    <w:uiPriority w:val="0"/>
    <w:pPr>
      <w:numPr>
        <w:ilvl w:val="2"/>
      </w:numPr>
      <w:spacing w:before="120"/>
      <w:outlineLvl w:val="2"/>
    </w:pPr>
    <w:rPr>
      <w:sz w:val="28"/>
    </w:rPr>
  </w:style>
  <w:style w:type="paragraph" w:styleId="5">
    <w:name w:val="heading 4"/>
    <w:basedOn w:val="4"/>
    <w:next w:val="1"/>
    <w:link w:val="129"/>
    <w:qFormat/>
    <w:uiPriority w:val="0"/>
    <w:pPr>
      <w:numPr>
        <w:ilvl w:val="3"/>
      </w:numPr>
      <w:outlineLvl w:val="3"/>
    </w:pPr>
    <w:rPr>
      <w:sz w:val="24"/>
    </w:rPr>
  </w:style>
  <w:style w:type="paragraph" w:styleId="6">
    <w:name w:val="heading 5"/>
    <w:basedOn w:val="5"/>
    <w:next w:val="1"/>
    <w:link w:val="130"/>
    <w:qFormat/>
    <w:uiPriority w:val="0"/>
    <w:pPr>
      <w:numPr>
        <w:ilvl w:val="4"/>
      </w:numPr>
      <w:outlineLvl w:val="4"/>
    </w:pPr>
    <w:rPr>
      <w:sz w:val="22"/>
    </w:rPr>
  </w:style>
  <w:style w:type="paragraph" w:styleId="7">
    <w:name w:val="heading 6"/>
    <w:basedOn w:val="8"/>
    <w:next w:val="1"/>
    <w:link w:val="131"/>
    <w:qFormat/>
    <w:uiPriority w:val="0"/>
    <w:pPr>
      <w:numPr>
        <w:ilvl w:val="5"/>
      </w:numPr>
      <w:outlineLvl w:val="5"/>
    </w:pPr>
  </w:style>
  <w:style w:type="paragraph" w:styleId="9">
    <w:name w:val="heading 7"/>
    <w:basedOn w:val="8"/>
    <w:next w:val="1"/>
    <w:link w:val="132"/>
    <w:qFormat/>
    <w:uiPriority w:val="0"/>
    <w:pPr>
      <w:numPr>
        <w:ilvl w:val="6"/>
      </w:numPr>
      <w:outlineLvl w:val="6"/>
    </w:pPr>
  </w:style>
  <w:style w:type="paragraph" w:styleId="10">
    <w:name w:val="heading 8"/>
    <w:basedOn w:val="2"/>
    <w:next w:val="1"/>
    <w:link w:val="133"/>
    <w:qFormat/>
    <w:uiPriority w:val="0"/>
    <w:pPr>
      <w:numPr>
        <w:ilvl w:val="7"/>
      </w:numPr>
      <w:outlineLvl w:val="7"/>
    </w:pPr>
  </w:style>
  <w:style w:type="paragraph" w:styleId="11">
    <w:name w:val="heading 9"/>
    <w:basedOn w:val="10"/>
    <w:next w:val="1"/>
    <w:link w:val="134"/>
    <w:qFormat/>
    <w:uiPriority w:val="0"/>
    <w:pPr>
      <w:numPr>
        <w:ilvl w:val="8"/>
      </w:numPr>
      <w:outlineLvl w:val="8"/>
    </w:pPr>
  </w:style>
  <w:style w:type="character" w:default="1" w:styleId="56">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22">
    <w:name w:val="List Number 2"/>
    <w:basedOn w:val="23"/>
    <w:qFormat/>
    <w:uiPriority w:val="0"/>
    <w:pPr>
      <w:numPr>
        <w:ilvl w:val="0"/>
        <w:numId w:val="2"/>
      </w:numPr>
    </w:pPr>
  </w:style>
  <w:style w:type="paragraph" w:styleId="23">
    <w:name w:val="List Number"/>
    <w:basedOn w:val="14"/>
    <w:qFormat/>
    <w:uiPriority w:val="0"/>
    <w:pPr>
      <w:numPr>
        <w:ilvl w:val="0"/>
        <w:numId w:val="3"/>
      </w:numPr>
    </w:pPr>
    <w:rPr>
      <w:lang w:eastAsia="ja-JP"/>
    </w:rPr>
  </w:style>
  <w:style w:type="paragraph" w:styleId="24">
    <w:name w:val="List Bullet 4"/>
    <w:basedOn w:val="25"/>
    <w:qFormat/>
    <w:uiPriority w:val="0"/>
    <w:pPr>
      <w:numPr>
        <w:numId w:val="4"/>
      </w:numPr>
    </w:pPr>
  </w:style>
  <w:style w:type="paragraph" w:styleId="25">
    <w:name w:val="List Bullet 3"/>
    <w:basedOn w:val="26"/>
    <w:qFormat/>
    <w:uiPriority w:val="0"/>
    <w:pPr>
      <w:numPr>
        <w:numId w:val="5"/>
      </w:numPr>
    </w:pPr>
  </w:style>
  <w:style w:type="paragraph" w:styleId="26">
    <w:name w:val="List Bullet 2"/>
    <w:basedOn w:val="27"/>
    <w:qFormat/>
    <w:uiPriority w:val="0"/>
    <w:pPr>
      <w:numPr>
        <w:ilvl w:val="0"/>
        <w:numId w:val="6"/>
      </w:numPr>
    </w:pPr>
  </w:style>
  <w:style w:type="paragraph" w:styleId="27">
    <w:name w:val="List Bullet"/>
    <w:basedOn w:val="14"/>
    <w:qFormat/>
    <w:uiPriority w:val="0"/>
    <w:pPr>
      <w:numPr>
        <w:ilvl w:val="0"/>
        <w:numId w:val="7"/>
      </w:numPr>
    </w:pPr>
    <w:rPr>
      <w:lang w:eastAsia="ja-JP"/>
    </w:rPr>
  </w:style>
  <w:style w:type="paragraph" w:styleId="28">
    <w:name w:val="caption"/>
    <w:basedOn w:val="1"/>
    <w:next w:val="1"/>
    <w:link w:val="184"/>
    <w:qFormat/>
    <w:uiPriority w:val="35"/>
    <w:pPr>
      <w:spacing w:before="120" w:after="120"/>
    </w:pPr>
    <w:rPr>
      <w:b/>
      <w:lang w:eastAsia="en-GB"/>
    </w:rPr>
  </w:style>
  <w:style w:type="paragraph" w:styleId="29">
    <w:name w:val="Document Map"/>
    <w:basedOn w:val="1"/>
    <w:link w:val="118"/>
    <w:qFormat/>
    <w:uiPriority w:val="0"/>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77"/>
    <w:qFormat/>
    <w:uiPriority w:val="0"/>
    <w:pPr>
      <w:spacing w:after="120"/>
    </w:pPr>
    <w:rPr>
      <w:rFonts w:ascii="Arial" w:hAnsi="Arial"/>
    </w:rPr>
  </w:style>
  <w:style w:type="paragraph" w:styleId="32">
    <w:name w:val="List Number 3"/>
    <w:basedOn w:val="22"/>
    <w:qFormat/>
    <w:uiPriority w:val="0"/>
    <w:pPr>
      <w:numPr>
        <w:numId w:val="8"/>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42"/>
    <w:qFormat/>
    <w:uiPriority w:val="99"/>
    <w:rPr>
      <w:rFonts w:ascii="Courier New" w:hAnsi="Courier New"/>
      <w:lang w:val="nb-NO"/>
    </w:rPr>
  </w:style>
  <w:style w:type="paragraph" w:styleId="35">
    <w:name w:val="List Bullet 5"/>
    <w:basedOn w:val="24"/>
    <w:qFormat/>
    <w:uiPriority w:val="0"/>
    <w:pPr>
      <w:numPr>
        <w:numId w:val="9"/>
      </w:numPr>
    </w:pPr>
  </w:style>
  <w:style w:type="paragraph" w:styleId="36">
    <w:name w:val="toc 8"/>
    <w:basedOn w:val="21"/>
    <w:next w:val="1"/>
    <w:qFormat/>
    <w:uiPriority w:val="39"/>
    <w:pPr>
      <w:spacing w:before="180"/>
      <w:ind w:left="2693" w:hanging="2693"/>
    </w:pPr>
    <w:rPr>
      <w:b/>
    </w:rPr>
  </w:style>
  <w:style w:type="paragraph" w:styleId="37">
    <w:name w:val="Balloon Text"/>
    <w:basedOn w:val="1"/>
    <w:link w:val="111"/>
    <w:qFormat/>
    <w:uiPriority w:val="0"/>
    <w:rPr>
      <w:rFonts w:ascii="Segoe UI" w:hAnsi="Segoe UI" w:cs="Segoe UI"/>
      <w:sz w:val="18"/>
      <w:szCs w:val="18"/>
    </w:rPr>
  </w:style>
  <w:style w:type="paragraph" w:styleId="38">
    <w:name w:val="footer"/>
    <w:basedOn w:val="39"/>
    <w:link w:val="124"/>
    <w:qFormat/>
    <w:uiPriority w:val="99"/>
    <w:pPr>
      <w:jc w:val="center"/>
    </w:pPr>
    <w:rPr>
      <w:i/>
    </w:rPr>
  </w:style>
  <w:style w:type="paragraph" w:styleId="39">
    <w:name w:val="header"/>
    <w:link w:val="123"/>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5"/>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6"/>
    <w:next w:val="1"/>
    <w:qFormat/>
    <w:uiPriority w:val="39"/>
    <w:pPr>
      <w:ind w:left="1418" w:hanging="1418"/>
    </w:pPr>
  </w:style>
  <w:style w:type="paragraph" w:styleId="46">
    <w:name w:val="Body Text 2"/>
    <w:basedOn w:val="1"/>
    <w:link w:val="192"/>
    <w:qFormat/>
    <w:uiPriority w:val="0"/>
    <w:pPr>
      <w:spacing w:line="259" w:lineRule="auto"/>
    </w:pPr>
    <w:rPr>
      <w:rFonts w:ascii="Times New Roman" w:hAnsi="Times New Roman" w:eastAsia="MS Mincho" w:cs="Times New Roman"/>
      <w:kern w:val="0"/>
      <w:sz w:val="24"/>
      <w:szCs w:val="20"/>
      <w:lang w:val="en-GB" w:eastAsia="en-US"/>
    </w:rPr>
  </w:style>
  <w:style w:type="paragraph" w:styleId="47">
    <w:name w:val="List Continue 2"/>
    <w:basedOn w:val="1"/>
    <w:qFormat/>
    <w:uiPriority w:val="0"/>
    <w:pPr>
      <w:spacing w:after="120"/>
      <w:ind w:left="566"/>
      <w:contextualSpacing/>
    </w:pPr>
    <w:rPr>
      <w:rFonts w:ascii="Arial" w:hAnsi="Arial"/>
    </w:rPr>
  </w:style>
  <w:style w:type="paragraph" w:styleId="48">
    <w:name w:val="Normal (Web)"/>
    <w:basedOn w:val="1"/>
    <w:unhideWhenUsed/>
    <w:qFormat/>
    <w:uiPriority w:val="99"/>
    <w:pPr>
      <w:spacing w:before="100" w:beforeAutospacing="1" w:after="100" w:afterAutospacing="1"/>
    </w:pPr>
    <w:rPr>
      <w:rFonts w:ascii="Times New Roman" w:hAnsi="Times New Roman" w:eastAsia="Yu Mincho" w:cs="Times New Roman"/>
      <w:sz w:val="24"/>
      <w:lang w:eastAsia="en-US"/>
    </w:rPr>
  </w:style>
  <w:style w:type="paragraph" w:styleId="49">
    <w:name w:val="index 1"/>
    <w:basedOn w:val="1"/>
    <w:next w:val="1"/>
    <w:qFormat/>
    <w:uiPriority w:val="0"/>
    <w:pPr>
      <w:keepLines/>
    </w:pPr>
  </w:style>
  <w:style w:type="paragraph" w:styleId="50">
    <w:name w:val="index 2"/>
    <w:basedOn w:val="49"/>
    <w:next w:val="1"/>
    <w:qFormat/>
    <w:uiPriority w:val="0"/>
    <w:pPr>
      <w:ind w:left="284"/>
    </w:pPr>
  </w:style>
  <w:style w:type="paragraph" w:styleId="51">
    <w:name w:val="Title"/>
    <w:basedOn w:val="1"/>
    <w:next w:val="1"/>
    <w:link w:val="200"/>
    <w:qFormat/>
    <w:uiPriority w:val="10"/>
    <w:pPr>
      <w:spacing w:before="240" w:after="60"/>
      <w:ind w:left="1701" w:hanging="1701"/>
      <w:outlineLvl w:val="0"/>
    </w:pPr>
    <w:rPr>
      <w:rFonts w:ascii="Arial" w:hAnsi="Arial" w:cs="Arial"/>
      <w:b/>
      <w:bCs/>
      <w:kern w:val="28"/>
      <w:sz w:val="20"/>
      <w:szCs w:val="20"/>
      <w:lang w:val="en-GB" w:eastAsia="en-US"/>
    </w:rPr>
  </w:style>
  <w:style w:type="paragraph" w:styleId="52">
    <w:name w:val="annotation subject"/>
    <w:basedOn w:val="30"/>
    <w:next w:val="30"/>
    <w:link w:val="113"/>
    <w:qFormat/>
    <w:uiPriority w:val="0"/>
    <w:rPr>
      <w:b/>
      <w:bCs/>
    </w:rPr>
  </w:style>
  <w:style w:type="table" w:styleId="54">
    <w:name w:val="Table Grid"/>
    <w:basedOn w:val="53"/>
    <w:qFormat/>
    <w:uiPriority w:val="5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5">
    <w:name w:val="Table Grid 1"/>
    <w:basedOn w:val="53"/>
    <w:qFormat/>
    <w:uiPriority w:val="0"/>
    <w:pPr>
      <w:spacing w:after="180"/>
    </w:pPr>
    <w:rPr>
      <w:rFonts w:eastAsia="Batang"/>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57">
    <w:name w:val="Strong"/>
    <w:qFormat/>
    <w:uiPriority w:val="22"/>
    <w:rPr>
      <w:b/>
      <w:bCs/>
    </w:rPr>
  </w:style>
  <w:style w:type="character" w:styleId="58">
    <w:name w:val="page number"/>
    <w:basedOn w:val="56"/>
    <w:qFormat/>
    <w:uiPriority w:val="0"/>
  </w:style>
  <w:style w:type="character" w:styleId="59">
    <w:name w:val="FollowedHyperlink"/>
    <w:unhideWhenUsed/>
    <w:qFormat/>
    <w:uiPriority w:val="0"/>
    <w:rPr>
      <w:color w:val="800080"/>
      <w:u w:val="single"/>
    </w:rPr>
  </w:style>
  <w:style w:type="character" w:styleId="60">
    <w:name w:val="Emphasis"/>
    <w:qFormat/>
    <w:uiPriority w:val="0"/>
    <w:rPr>
      <w:i/>
      <w:iCs/>
    </w:rPr>
  </w:style>
  <w:style w:type="character" w:styleId="61">
    <w:name w:val="Hyperlink"/>
    <w:qFormat/>
    <w:uiPriority w:val="99"/>
    <w:rPr>
      <w:color w:val="0000FF"/>
      <w:u w:val="single"/>
    </w:rPr>
  </w:style>
  <w:style w:type="character" w:styleId="62">
    <w:name w:val="HTML Code"/>
    <w:unhideWhenUsed/>
    <w:qFormat/>
    <w:uiPriority w:val="99"/>
    <w:rPr>
      <w:rFonts w:ascii="Courier New" w:hAnsi="Courier New" w:eastAsia="Times New Roman" w:cs="Courier New"/>
      <w:sz w:val="20"/>
      <w:szCs w:val="20"/>
    </w:rPr>
  </w:style>
  <w:style w:type="character" w:styleId="63">
    <w:name w:val="annotation reference"/>
    <w:qFormat/>
    <w:uiPriority w:val="0"/>
    <w:rPr>
      <w:sz w:val="16"/>
      <w:szCs w:val="16"/>
    </w:rPr>
  </w:style>
  <w:style w:type="character" w:styleId="64">
    <w:name w:val="footnote reference"/>
    <w:qFormat/>
    <w:uiPriority w:val="0"/>
    <w:rPr>
      <w:b/>
      <w:position w:val="6"/>
      <w:sz w:val="16"/>
    </w:rPr>
  </w:style>
  <w:style w:type="paragraph" w:customStyle="1" w:styleId="65">
    <w:name w:val="Figure"/>
    <w:basedOn w:val="1"/>
    <w:next w:val="28"/>
    <w:qFormat/>
    <w:uiPriority w:val="0"/>
    <w:pPr>
      <w:keepNext/>
      <w:keepLines/>
      <w:spacing w:before="180"/>
      <w:jc w:val="center"/>
    </w:pPr>
  </w:style>
  <w:style w:type="paragraph" w:customStyle="1" w:styleId="66">
    <w:name w:val="3GPP_Header"/>
    <w:basedOn w:val="31"/>
    <w:qFormat/>
    <w:uiPriority w:val="0"/>
    <w:pPr>
      <w:tabs>
        <w:tab w:val="left" w:pos="1701"/>
        <w:tab w:val="right" w:pos="9639"/>
      </w:tabs>
      <w:spacing w:after="240"/>
    </w:pPr>
    <w:rPr>
      <w:b/>
      <w:sz w:val="24"/>
    </w:rPr>
  </w:style>
  <w:style w:type="paragraph" w:customStyle="1" w:styleId="67">
    <w:name w:val="EQ"/>
    <w:basedOn w:val="1"/>
    <w:next w:val="1"/>
    <w:qFormat/>
    <w:uiPriority w:val="0"/>
    <w:pPr>
      <w:keepLines/>
      <w:tabs>
        <w:tab w:val="center" w:pos="4536"/>
        <w:tab w:val="right" w:pos="9072"/>
      </w:tabs>
    </w:pPr>
  </w:style>
  <w:style w:type="paragraph" w:customStyle="1" w:styleId="68">
    <w:name w:val="Editor's Note"/>
    <w:basedOn w:val="69"/>
    <w:link w:val="120"/>
    <w:qFormat/>
    <w:uiPriority w:val="0"/>
    <w:rPr>
      <w:color w:val="FF0000"/>
      <w:lang w:val="zh-CN"/>
    </w:rPr>
  </w:style>
  <w:style w:type="paragraph" w:customStyle="1" w:styleId="69">
    <w:name w:val="NO"/>
    <w:basedOn w:val="1"/>
    <w:link w:val="119"/>
    <w:qFormat/>
    <w:uiPriority w:val="0"/>
    <w:pPr>
      <w:keepLines/>
      <w:ind w:left="1135" w:hanging="851"/>
    </w:pPr>
  </w:style>
  <w:style w:type="paragraph" w:customStyle="1" w:styleId="70">
    <w:name w:val="Reference"/>
    <w:basedOn w:val="31"/>
    <w:qFormat/>
    <w:uiPriority w:val="0"/>
    <w:pPr>
      <w:numPr>
        <w:ilvl w:val="0"/>
        <w:numId w:val="10"/>
      </w:numPr>
    </w:pPr>
  </w:style>
  <w:style w:type="character" w:customStyle="1" w:styleId="71">
    <w:name w:val="标题 1 字符"/>
    <w:link w:val="2"/>
    <w:qFormat/>
    <w:uiPriority w:val="0"/>
    <w:rPr>
      <w:rFonts w:ascii="Arial" w:hAnsi="Arial"/>
      <w:sz w:val="36"/>
      <w:lang w:eastAsia="ja-JP"/>
    </w:rPr>
  </w:style>
  <w:style w:type="paragraph" w:customStyle="1" w:styleId="72">
    <w:name w:val="B1"/>
    <w:basedOn w:val="14"/>
    <w:link w:val="101"/>
    <w:qFormat/>
    <w:uiPriority w:val="0"/>
    <w:rPr>
      <w:rFonts w:ascii="Times New Roman" w:hAnsi="Times New Roman"/>
    </w:rPr>
  </w:style>
  <w:style w:type="paragraph" w:customStyle="1" w:styleId="73">
    <w:name w:val="B2"/>
    <w:basedOn w:val="13"/>
    <w:link w:val="102"/>
    <w:qFormat/>
    <w:uiPriority w:val="0"/>
    <w:rPr>
      <w:rFonts w:ascii="Times New Roman" w:hAnsi="Times New Roman"/>
    </w:rPr>
  </w:style>
  <w:style w:type="paragraph" w:customStyle="1" w:styleId="74">
    <w:name w:val="B3"/>
    <w:basedOn w:val="12"/>
    <w:link w:val="103"/>
    <w:qFormat/>
    <w:uiPriority w:val="0"/>
    <w:rPr>
      <w:rFonts w:ascii="Times New Roman" w:hAnsi="Times New Roman"/>
    </w:rPr>
  </w:style>
  <w:style w:type="paragraph" w:customStyle="1" w:styleId="75">
    <w:name w:val="B4"/>
    <w:basedOn w:val="43"/>
    <w:link w:val="104"/>
    <w:qFormat/>
    <w:uiPriority w:val="0"/>
    <w:rPr>
      <w:rFonts w:ascii="Times New Roman" w:hAnsi="Times New Roman"/>
    </w:rPr>
  </w:style>
  <w:style w:type="paragraph" w:customStyle="1" w:styleId="76">
    <w:name w:val="Proposal"/>
    <w:basedOn w:val="31"/>
    <w:qFormat/>
    <w:uiPriority w:val="0"/>
    <w:pPr>
      <w:numPr>
        <w:ilvl w:val="0"/>
        <w:numId w:val="11"/>
      </w:numPr>
      <w:tabs>
        <w:tab w:val="left" w:pos="720"/>
        <w:tab w:val="left" w:pos="1701"/>
        <w:tab w:val="clear" w:pos="1304"/>
      </w:tabs>
      <w:ind w:left="720" w:hanging="720"/>
    </w:pPr>
    <w:rPr>
      <w:b/>
      <w:bCs/>
    </w:rPr>
  </w:style>
  <w:style w:type="character" w:customStyle="1" w:styleId="77">
    <w:name w:val="正文文本 字符"/>
    <w:link w:val="31"/>
    <w:qFormat/>
    <w:uiPriority w:val="0"/>
    <w:rPr>
      <w:rFonts w:ascii="Arial" w:hAnsi="Arial"/>
      <w:lang w:eastAsia="zh-CN"/>
    </w:rPr>
  </w:style>
  <w:style w:type="paragraph" w:customStyle="1" w:styleId="78">
    <w:name w:val="B5"/>
    <w:basedOn w:val="42"/>
    <w:link w:val="105"/>
    <w:qFormat/>
    <w:uiPriority w:val="0"/>
    <w:rPr>
      <w:rFonts w:ascii="Times New Roman" w:hAnsi="Times New Roman"/>
    </w:rPr>
  </w:style>
  <w:style w:type="paragraph" w:customStyle="1" w:styleId="79">
    <w:name w:val="EX"/>
    <w:basedOn w:val="1"/>
    <w:link w:val="174"/>
    <w:qFormat/>
    <w:uiPriority w:val="0"/>
    <w:pPr>
      <w:keepLines/>
      <w:ind w:left="1702" w:hanging="1418"/>
    </w:pPr>
  </w:style>
  <w:style w:type="paragraph" w:customStyle="1" w:styleId="80">
    <w:name w:val="EW"/>
    <w:basedOn w:val="79"/>
    <w:qFormat/>
    <w:uiPriority w:val="0"/>
  </w:style>
  <w:style w:type="paragraph" w:customStyle="1" w:styleId="81">
    <w:name w:val="TAL"/>
    <w:basedOn w:val="1"/>
    <w:link w:val="143"/>
    <w:qFormat/>
    <w:uiPriority w:val="0"/>
    <w:pPr>
      <w:keepNext/>
      <w:keepLines/>
    </w:pPr>
    <w:rPr>
      <w:rFonts w:ascii="Arial" w:hAnsi="Arial"/>
      <w:sz w:val="18"/>
      <w:lang w:val="zh-CN"/>
    </w:rPr>
  </w:style>
  <w:style w:type="paragraph" w:customStyle="1" w:styleId="82">
    <w:name w:val="TAC"/>
    <w:basedOn w:val="81"/>
    <w:link w:val="164"/>
    <w:qFormat/>
    <w:uiPriority w:val="0"/>
    <w:pPr>
      <w:jc w:val="center"/>
    </w:pPr>
  </w:style>
  <w:style w:type="paragraph" w:customStyle="1" w:styleId="83">
    <w:name w:val="TAH"/>
    <w:basedOn w:val="82"/>
    <w:link w:val="144"/>
    <w:qFormat/>
    <w:uiPriority w:val="0"/>
    <w:rPr>
      <w:b/>
    </w:rPr>
  </w:style>
  <w:style w:type="paragraph" w:customStyle="1" w:styleId="84">
    <w:name w:val="TAN"/>
    <w:basedOn w:val="81"/>
    <w:qFormat/>
    <w:uiPriority w:val="0"/>
    <w:pPr>
      <w:ind w:left="851" w:hanging="851"/>
    </w:pPr>
  </w:style>
  <w:style w:type="paragraph" w:customStyle="1" w:styleId="85">
    <w:name w:val="TAR"/>
    <w:basedOn w:val="81"/>
    <w:qFormat/>
    <w:uiPriority w:val="0"/>
    <w:pPr>
      <w:jc w:val="right"/>
    </w:pPr>
  </w:style>
  <w:style w:type="paragraph" w:customStyle="1" w:styleId="86">
    <w:name w:val="TH"/>
    <w:basedOn w:val="1"/>
    <w:link w:val="145"/>
    <w:qFormat/>
    <w:uiPriority w:val="0"/>
    <w:pPr>
      <w:keepNext/>
      <w:keepLines/>
      <w:spacing w:before="60"/>
      <w:jc w:val="center"/>
    </w:pPr>
    <w:rPr>
      <w:rFonts w:ascii="Arial" w:hAnsi="Arial"/>
      <w:b/>
      <w:lang w:val="zh-CN"/>
    </w:rPr>
  </w:style>
  <w:style w:type="paragraph" w:customStyle="1" w:styleId="87">
    <w:name w:val="TF"/>
    <w:basedOn w:val="86"/>
    <w:link w:val="149"/>
    <w:qFormat/>
    <w:uiPriority w:val="0"/>
    <w:pPr>
      <w:keepNext w:val="0"/>
      <w:spacing w:before="0" w:after="240"/>
    </w:pPr>
  </w:style>
  <w:style w:type="paragraph" w:customStyle="1" w:styleId="88">
    <w:name w:val="TT"/>
    <w:basedOn w:val="2"/>
    <w:next w:val="1"/>
    <w:qFormat/>
    <w:uiPriority w:val="0"/>
    <w:pPr>
      <w:outlineLvl w:val="9"/>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character" w:customStyle="1" w:styleId="93">
    <w:name w:val="ZGSM"/>
    <w:qFormat/>
    <w:uiPriority w:val="0"/>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96">
    <w:name w:val="ZTD"/>
    <w:basedOn w:val="90"/>
    <w:qFormat/>
    <w:uiPriority w:val="0"/>
    <w:pPr>
      <w:framePr w:hRule="auto" w:y="852"/>
    </w:pPr>
    <w:rPr>
      <w:i w:val="0"/>
      <w:sz w:val="40"/>
    </w:rPr>
  </w:style>
  <w:style w:type="paragraph" w:customStyle="1" w:styleId="9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98">
    <w:name w:val="ZV"/>
    <w:basedOn w:val="97"/>
    <w:qFormat/>
    <w:uiPriority w:val="0"/>
    <w:pPr>
      <w:framePr w:y="16161"/>
    </w:pPr>
  </w:style>
  <w:style w:type="paragraph" w:customStyle="1" w:styleId="99">
    <w:name w:val="FP"/>
    <w:basedOn w:val="1"/>
    <w:qFormat/>
    <w:uiPriority w:val="0"/>
  </w:style>
  <w:style w:type="paragraph" w:customStyle="1" w:styleId="100">
    <w:name w:val="Observation"/>
    <w:basedOn w:val="76"/>
    <w:qFormat/>
    <w:uiPriority w:val="0"/>
    <w:pPr>
      <w:numPr>
        <w:ilvl w:val="0"/>
        <w:numId w:val="12"/>
      </w:numPr>
      <w:ind w:left="1701" w:hanging="1701"/>
    </w:pPr>
    <w:rPr>
      <w:lang w:eastAsia="ja-JP"/>
    </w:rPr>
  </w:style>
  <w:style w:type="character" w:customStyle="1" w:styleId="101">
    <w:name w:val="B1 Char1"/>
    <w:link w:val="72"/>
    <w:qFormat/>
    <w:uiPriority w:val="0"/>
    <w:rPr>
      <w:rFonts w:ascii="Times New Roman" w:hAnsi="Times New Roman"/>
      <w:lang w:eastAsia="zh-CN"/>
    </w:rPr>
  </w:style>
  <w:style w:type="character" w:customStyle="1" w:styleId="102">
    <w:name w:val="B2 Char"/>
    <w:link w:val="73"/>
    <w:qFormat/>
    <w:uiPriority w:val="0"/>
    <w:rPr>
      <w:rFonts w:ascii="Times New Roman" w:hAnsi="Times New Roman"/>
      <w:lang w:eastAsia="ja-JP"/>
    </w:rPr>
  </w:style>
  <w:style w:type="character" w:customStyle="1" w:styleId="103">
    <w:name w:val="B3 Char2"/>
    <w:link w:val="74"/>
    <w:qFormat/>
    <w:uiPriority w:val="0"/>
    <w:rPr>
      <w:rFonts w:ascii="Times New Roman" w:hAnsi="Times New Roman"/>
      <w:lang w:eastAsia="ja-JP"/>
    </w:rPr>
  </w:style>
  <w:style w:type="character" w:customStyle="1" w:styleId="104">
    <w:name w:val="B4 Char"/>
    <w:link w:val="75"/>
    <w:qFormat/>
    <w:uiPriority w:val="0"/>
    <w:rPr>
      <w:rFonts w:ascii="Times New Roman" w:hAnsi="Times New Roman"/>
      <w:lang w:eastAsia="ja-JP"/>
    </w:rPr>
  </w:style>
  <w:style w:type="character" w:customStyle="1" w:styleId="105">
    <w:name w:val="B5 Char"/>
    <w:link w:val="78"/>
    <w:qFormat/>
    <w:uiPriority w:val="0"/>
    <w:rPr>
      <w:rFonts w:ascii="Times New Roman" w:hAnsi="Times New Roman"/>
      <w:lang w:eastAsia="ja-JP"/>
    </w:rPr>
  </w:style>
  <w:style w:type="paragraph" w:customStyle="1" w:styleId="106">
    <w:name w:val="B6"/>
    <w:basedOn w:val="78"/>
    <w:link w:val="107"/>
    <w:qFormat/>
    <w:uiPriority w:val="0"/>
    <w:pPr>
      <w:ind w:left="1985"/>
    </w:pPr>
  </w:style>
  <w:style w:type="character" w:customStyle="1" w:styleId="107">
    <w:name w:val="B6 Char"/>
    <w:link w:val="106"/>
    <w:qFormat/>
    <w:uiPriority w:val="0"/>
    <w:rPr>
      <w:rFonts w:ascii="Times New Roman" w:hAnsi="Times New Roman"/>
      <w:lang w:eastAsia="ja-JP"/>
    </w:rPr>
  </w:style>
  <w:style w:type="paragraph" w:customStyle="1" w:styleId="108">
    <w:name w:val="B7"/>
    <w:basedOn w:val="106"/>
    <w:link w:val="109"/>
    <w:qFormat/>
    <w:uiPriority w:val="0"/>
    <w:pPr>
      <w:ind w:left="2269"/>
    </w:pPr>
  </w:style>
  <w:style w:type="character" w:customStyle="1" w:styleId="109">
    <w:name w:val="B7 Char"/>
    <w:basedOn w:val="107"/>
    <w:link w:val="108"/>
    <w:qFormat/>
    <w:uiPriority w:val="0"/>
    <w:rPr>
      <w:rFonts w:ascii="Times New Roman" w:hAnsi="Times New Roman"/>
      <w:lang w:eastAsia="ja-JP"/>
    </w:rPr>
  </w:style>
  <w:style w:type="paragraph" w:customStyle="1" w:styleId="110">
    <w:name w:val="B8"/>
    <w:basedOn w:val="108"/>
    <w:link w:val="194"/>
    <w:qFormat/>
    <w:uiPriority w:val="0"/>
    <w:pPr>
      <w:ind w:left="2552"/>
    </w:pPr>
  </w:style>
  <w:style w:type="character" w:customStyle="1" w:styleId="111">
    <w:name w:val="批注框文本 字符"/>
    <w:link w:val="37"/>
    <w:qFormat/>
    <w:uiPriority w:val="0"/>
    <w:rPr>
      <w:rFonts w:ascii="Segoe UI" w:hAnsi="Segoe UI" w:cs="Segoe UI"/>
      <w:sz w:val="18"/>
      <w:szCs w:val="18"/>
      <w:lang w:eastAsia="ja-JP"/>
    </w:rPr>
  </w:style>
  <w:style w:type="character" w:customStyle="1" w:styleId="112">
    <w:name w:val="批注文字 字符"/>
    <w:link w:val="30"/>
    <w:qFormat/>
    <w:uiPriority w:val="99"/>
    <w:rPr>
      <w:rFonts w:ascii="Times New Roman" w:hAnsi="Times New Roman"/>
      <w:lang w:eastAsia="ja-JP"/>
    </w:rPr>
  </w:style>
  <w:style w:type="character" w:customStyle="1" w:styleId="113">
    <w:name w:val="批注主题 字符"/>
    <w:link w:val="52"/>
    <w:qFormat/>
    <w:uiPriority w:val="0"/>
    <w:rPr>
      <w:rFonts w:ascii="Times New Roman" w:hAnsi="Times New Roman"/>
      <w:b/>
      <w:bCs/>
      <w:lang w:eastAsia="ja-JP"/>
    </w:rPr>
  </w:style>
  <w:style w:type="paragraph" w:customStyle="1" w:styleId="114">
    <w:name w:val="CR Cover Page"/>
    <w:link w:val="115"/>
    <w:qFormat/>
    <w:uiPriority w:val="0"/>
    <w:pPr>
      <w:spacing w:after="120"/>
    </w:pPr>
    <w:rPr>
      <w:rFonts w:ascii="Arial" w:hAnsi="Arial" w:cs="Times New Roman" w:eastAsiaTheme="minorEastAsia"/>
      <w:lang w:val="en-GB" w:eastAsia="ko-KR" w:bidi="ar-SA"/>
    </w:rPr>
  </w:style>
  <w:style w:type="character" w:customStyle="1" w:styleId="115">
    <w:name w:val="CR Cover Page Zchn"/>
    <w:link w:val="114"/>
    <w:qFormat/>
    <w:uiPriority w:val="0"/>
    <w:rPr>
      <w:rFonts w:ascii="Arial" w:hAnsi="Arial"/>
      <w:lang w:eastAsia="ko-KR"/>
    </w:rPr>
  </w:style>
  <w:style w:type="paragraph" w:customStyle="1" w:styleId="116">
    <w:name w:val="Doc-text2"/>
    <w:basedOn w:val="1"/>
    <w:link w:val="117"/>
    <w:qFormat/>
    <w:uiPriority w:val="0"/>
    <w:pPr>
      <w:tabs>
        <w:tab w:val="left" w:pos="1622"/>
      </w:tabs>
      <w:ind w:left="1622" w:hanging="363"/>
    </w:pPr>
    <w:rPr>
      <w:rFonts w:ascii="Arial" w:hAnsi="Arial" w:eastAsia="MS Mincho"/>
      <w:lang w:val="zh-CN"/>
    </w:rPr>
  </w:style>
  <w:style w:type="character" w:customStyle="1" w:styleId="117">
    <w:name w:val="Doc-text2 Char"/>
    <w:link w:val="116"/>
    <w:qFormat/>
    <w:locked/>
    <w:uiPriority w:val="0"/>
    <w:rPr>
      <w:rFonts w:ascii="Arial" w:hAnsi="Arial" w:eastAsia="MS Mincho"/>
      <w:szCs w:val="24"/>
      <w:lang w:val="zh-CN" w:eastAsia="zh-CN"/>
    </w:rPr>
  </w:style>
  <w:style w:type="character" w:customStyle="1" w:styleId="118">
    <w:name w:val="文档结构图 字符"/>
    <w:link w:val="29"/>
    <w:qFormat/>
    <w:uiPriority w:val="0"/>
    <w:rPr>
      <w:rFonts w:ascii="Tahoma" w:hAnsi="Tahoma" w:cs="Tahoma"/>
      <w:shd w:val="clear" w:color="auto" w:fill="000080"/>
      <w:lang w:eastAsia="ja-JP"/>
    </w:rPr>
  </w:style>
  <w:style w:type="character" w:customStyle="1" w:styleId="119">
    <w:name w:val="NO Char"/>
    <w:link w:val="69"/>
    <w:qFormat/>
    <w:uiPriority w:val="0"/>
    <w:rPr>
      <w:rFonts w:ascii="Times New Roman" w:hAnsi="Times New Roman"/>
      <w:lang w:eastAsia="ja-JP"/>
    </w:rPr>
  </w:style>
  <w:style w:type="character" w:customStyle="1" w:styleId="120">
    <w:name w:val="Editor's Note Char"/>
    <w:link w:val="68"/>
    <w:qFormat/>
    <w:uiPriority w:val="0"/>
    <w:rPr>
      <w:rFonts w:ascii="Times New Roman" w:hAnsi="Times New Roman"/>
      <w:color w:val="FF0000"/>
      <w:lang w:val="zh-CN" w:eastAsia="zh-CN"/>
    </w:rPr>
  </w:style>
  <w:style w:type="paragraph" w:customStyle="1" w:styleId="121">
    <w:name w:val="EmailDiscussion"/>
    <w:basedOn w:val="1"/>
    <w:next w:val="1"/>
    <w:qFormat/>
    <w:uiPriority w:val="0"/>
    <w:pPr>
      <w:numPr>
        <w:ilvl w:val="0"/>
        <w:numId w:val="13"/>
      </w:numPr>
      <w:spacing w:before="40"/>
    </w:pPr>
    <w:rPr>
      <w:rFonts w:ascii="Arial" w:hAnsi="Arial" w:eastAsia="MS Mincho"/>
      <w:b/>
      <w:lang w:eastAsia="en-GB"/>
    </w:rPr>
  </w:style>
  <w:style w:type="paragraph" w:customStyle="1" w:styleId="122">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3">
    <w:name w:val="页眉 字符"/>
    <w:link w:val="39"/>
    <w:qFormat/>
    <w:uiPriority w:val="0"/>
    <w:rPr>
      <w:rFonts w:ascii="Arial" w:hAnsi="Arial"/>
      <w:b/>
      <w:sz w:val="18"/>
      <w:lang w:eastAsia="ja-JP"/>
    </w:rPr>
  </w:style>
  <w:style w:type="character" w:customStyle="1" w:styleId="124">
    <w:name w:val="页脚 字符"/>
    <w:link w:val="38"/>
    <w:qFormat/>
    <w:uiPriority w:val="99"/>
    <w:rPr>
      <w:rFonts w:ascii="Arial" w:hAnsi="Arial"/>
      <w:b/>
      <w:i/>
      <w:sz w:val="18"/>
      <w:lang w:eastAsia="ja-JP"/>
    </w:rPr>
  </w:style>
  <w:style w:type="character" w:customStyle="1" w:styleId="125">
    <w:name w:val="脚注文本 字符"/>
    <w:link w:val="41"/>
    <w:qFormat/>
    <w:uiPriority w:val="0"/>
    <w:rPr>
      <w:rFonts w:ascii="Times New Roman" w:hAnsi="Times New Roman"/>
      <w:sz w:val="16"/>
      <w:lang w:eastAsia="ja-JP"/>
    </w:rPr>
  </w:style>
  <w:style w:type="paragraph" w:customStyle="1" w:styleId="126">
    <w:name w:val="Guidance"/>
    <w:basedOn w:val="1"/>
    <w:qFormat/>
    <w:uiPriority w:val="0"/>
    <w:rPr>
      <w:i/>
      <w:color w:val="0000FF"/>
    </w:rPr>
  </w:style>
  <w:style w:type="character" w:customStyle="1" w:styleId="127">
    <w:name w:val="标题 2 字符"/>
    <w:link w:val="3"/>
    <w:qFormat/>
    <w:uiPriority w:val="0"/>
    <w:rPr>
      <w:rFonts w:ascii="Arial" w:hAnsi="Arial"/>
      <w:sz w:val="32"/>
      <w:lang w:eastAsia="ja-JP"/>
    </w:rPr>
  </w:style>
  <w:style w:type="character" w:customStyle="1" w:styleId="128">
    <w:name w:val="标题 3 字符"/>
    <w:link w:val="4"/>
    <w:qFormat/>
    <w:uiPriority w:val="0"/>
    <w:rPr>
      <w:rFonts w:ascii="Arial" w:hAnsi="Arial"/>
      <w:sz w:val="28"/>
      <w:lang w:eastAsia="ja-JP"/>
    </w:rPr>
  </w:style>
  <w:style w:type="character" w:customStyle="1" w:styleId="129">
    <w:name w:val="标题 4 字符"/>
    <w:link w:val="5"/>
    <w:qFormat/>
    <w:uiPriority w:val="0"/>
    <w:rPr>
      <w:rFonts w:ascii="Arial" w:hAnsi="Arial"/>
      <w:sz w:val="24"/>
      <w:lang w:eastAsia="ja-JP"/>
    </w:rPr>
  </w:style>
  <w:style w:type="character" w:customStyle="1" w:styleId="130">
    <w:name w:val="标题 5 字符"/>
    <w:link w:val="6"/>
    <w:qFormat/>
    <w:uiPriority w:val="0"/>
    <w:rPr>
      <w:rFonts w:ascii="Arial" w:hAnsi="Arial"/>
      <w:sz w:val="22"/>
      <w:lang w:eastAsia="ja-JP"/>
    </w:rPr>
  </w:style>
  <w:style w:type="character" w:customStyle="1" w:styleId="131">
    <w:name w:val="标题 6 字符"/>
    <w:link w:val="7"/>
    <w:qFormat/>
    <w:uiPriority w:val="0"/>
    <w:rPr>
      <w:rFonts w:ascii="Arial" w:hAnsi="Arial"/>
      <w:lang w:eastAsia="ja-JP"/>
    </w:rPr>
  </w:style>
  <w:style w:type="character" w:customStyle="1" w:styleId="132">
    <w:name w:val="标题 7 字符"/>
    <w:link w:val="9"/>
    <w:qFormat/>
    <w:uiPriority w:val="0"/>
    <w:rPr>
      <w:rFonts w:ascii="Arial" w:hAnsi="Arial"/>
      <w:lang w:eastAsia="ja-JP"/>
    </w:rPr>
  </w:style>
  <w:style w:type="character" w:customStyle="1" w:styleId="133">
    <w:name w:val="标题 8 字符"/>
    <w:link w:val="10"/>
    <w:qFormat/>
    <w:uiPriority w:val="0"/>
    <w:rPr>
      <w:rFonts w:ascii="Arial" w:hAnsi="Arial"/>
      <w:sz w:val="36"/>
      <w:lang w:eastAsia="ja-JP"/>
    </w:rPr>
  </w:style>
  <w:style w:type="character" w:customStyle="1" w:styleId="134">
    <w:name w:val="标题 9 字符"/>
    <w:link w:val="11"/>
    <w:qFormat/>
    <w:uiPriority w:val="0"/>
    <w:rPr>
      <w:rFonts w:ascii="Arial" w:hAnsi="Arial"/>
      <w:sz w:val="36"/>
      <w:lang w:eastAsia="ja-JP"/>
    </w:rPr>
  </w:style>
  <w:style w:type="paragraph" w:customStyle="1" w:styleId="135">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styleId="136">
    <w:name w:val="List Paragraph"/>
    <w:basedOn w:val="1"/>
    <w:link w:val="137"/>
    <w:qFormat/>
    <w:uiPriority w:val="34"/>
    <w:pPr>
      <w:ind w:left="720"/>
    </w:pPr>
    <w:rPr>
      <w:rFonts w:ascii="Calibri" w:hAnsi="Calibri" w:eastAsia="Calibri"/>
      <w:lang w:val="zh-CN"/>
    </w:rPr>
  </w:style>
  <w:style w:type="character" w:customStyle="1" w:styleId="137">
    <w:name w:val="列表段落 字符"/>
    <w:link w:val="136"/>
    <w:qFormat/>
    <w:locked/>
    <w:uiPriority w:val="34"/>
    <w:rPr>
      <w:rFonts w:ascii="Calibri" w:hAnsi="Calibri" w:eastAsia="Calibri"/>
      <w:sz w:val="22"/>
      <w:szCs w:val="22"/>
      <w:lang w:val="zh-CN" w:eastAsia="en-US"/>
    </w:rPr>
  </w:style>
  <w:style w:type="paragraph" w:customStyle="1" w:styleId="138">
    <w:name w:val="NF"/>
    <w:basedOn w:val="69"/>
    <w:qFormat/>
    <w:uiPriority w:val="0"/>
    <w:pPr>
      <w:keepNext/>
    </w:pPr>
    <w:rPr>
      <w:rFonts w:ascii="Arial" w:hAnsi="Arial"/>
      <w:sz w:val="18"/>
    </w:rPr>
  </w:style>
  <w:style w:type="paragraph" w:customStyle="1" w:styleId="139">
    <w:name w:val="NW"/>
    <w:basedOn w:val="69"/>
    <w:qFormat/>
    <w:uiPriority w:val="0"/>
  </w:style>
  <w:style w:type="paragraph" w:customStyle="1" w:styleId="140">
    <w:name w:val="PL"/>
    <w:link w:val="14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41">
    <w:name w:val="PL Char"/>
    <w:link w:val="140"/>
    <w:qFormat/>
    <w:uiPriority w:val="0"/>
    <w:rPr>
      <w:rFonts w:ascii="Courier New" w:hAnsi="Courier New" w:eastAsia="Batang"/>
      <w:sz w:val="16"/>
      <w:shd w:val="clear" w:color="auto" w:fill="E6E6E6"/>
      <w:lang w:eastAsia="sv-SE"/>
    </w:rPr>
  </w:style>
  <w:style w:type="character" w:customStyle="1" w:styleId="142">
    <w:name w:val="纯文本 字符"/>
    <w:link w:val="34"/>
    <w:qFormat/>
    <w:uiPriority w:val="99"/>
    <w:rPr>
      <w:rFonts w:ascii="Courier New" w:hAnsi="Courier New"/>
      <w:lang w:val="nb-NO" w:eastAsia="ja-JP"/>
    </w:rPr>
  </w:style>
  <w:style w:type="character" w:customStyle="1" w:styleId="143">
    <w:name w:val="TAL Car"/>
    <w:link w:val="81"/>
    <w:qFormat/>
    <w:uiPriority w:val="0"/>
    <w:rPr>
      <w:rFonts w:ascii="Arial" w:hAnsi="Arial"/>
      <w:sz w:val="18"/>
      <w:lang w:val="zh-CN" w:eastAsia="zh-CN"/>
    </w:rPr>
  </w:style>
  <w:style w:type="character" w:customStyle="1" w:styleId="144">
    <w:name w:val="TAH Car"/>
    <w:link w:val="83"/>
    <w:qFormat/>
    <w:locked/>
    <w:uiPriority w:val="0"/>
    <w:rPr>
      <w:rFonts w:ascii="Arial" w:hAnsi="Arial"/>
      <w:b/>
      <w:sz w:val="18"/>
      <w:lang w:val="zh-CN" w:eastAsia="zh-CN"/>
    </w:rPr>
  </w:style>
  <w:style w:type="character" w:customStyle="1" w:styleId="145">
    <w:name w:val="TH Char"/>
    <w:link w:val="86"/>
    <w:qFormat/>
    <w:uiPriority w:val="0"/>
    <w:rPr>
      <w:rFonts w:ascii="Arial" w:hAnsi="Arial"/>
      <w:b/>
      <w:lang w:val="zh-CN" w:eastAsia="zh-CN"/>
    </w:rPr>
  </w:style>
  <w:style w:type="paragraph" w:customStyle="1" w:styleId="146">
    <w:name w:val="TAJ"/>
    <w:basedOn w:val="86"/>
    <w:qFormat/>
    <w:uiPriority w:val="0"/>
  </w:style>
  <w:style w:type="paragraph" w:customStyle="1" w:styleId="147">
    <w:name w:val="TAL Char Char"/>
    <w:basedOn w:val="1"/>
    <w:link w:val="148"/>
    <w:qFormat/>
    <w:uiPriority w:val="0"/>
    <w:pPr>
      <w:keepNext/>
      <w:keepLines/>
    </w:pPr>
    <w:rPr>
      <w:rFonts w:ascii="Arial" w:hAnsi="Arial" w:eastAsia="Malgun Gothic"/>
      <w:sz w:val="18"/>
      <w:lang w:val="zh-CN"/>
    </w:rPr>
  </w:style>
  <w:style w:type="character" w:customStyle="1" w:styleId="148">
    <w:name w:val="TAL Char Char Char"/>
    <w:link w:val="147"/>
    <w:qFormat/>
    <w:uiPriority w:val="0"/>
    <w:rPr>
      <w:rFonts w:ascii="Arial" w:hAnsi="Arial" w:eastAsia="Malgun Gothic"/>
      <w:sz w:val="18"/>
      <w:lang w:val="zh-CN" w:eastAsia="zh-CN"/>
    </w:rPr>
  </w:style>
  <w:style w:type="character" w:customStyle="1" w:styleId="149">
    <w:name w:val="TF Char"/>
    <w:link w:val="87"/>
    <w:qFormat/>
    <w:uiPriority w:val="0"/>
    <w:rPr>
      <w:rFonts w:ascii="Arial" w:hAnsi="Arial"/>
      <w:b/>
      <w:lang w:val="zh-CN" w:eastAsia="zh-CN"/>
    </w:rPr>
  </w:style>
  <w:style w:type="character" w:customStyle="1" w:styleId="150">
    <w:name w:val="未处理的提及1"/>
    <w:basedOn w:val="56"/>
    <w:semiHidden/>
    <w:unhideWhenUsed/>
    <w:qFormat/>
    <w:uiPriority w:val="99"/>
    <w:rPr>
      <w:color w:val="808080"/>
      <w:shd w:val="clear" w:color="auto" w:fill="E6E6E6"/>
    </w:rPr>
  </w:style>
  <w:style w:type="paragraph" w:customStyle="1" w:styleId="151">
    <w:name w:val="IvD bodytext"/>
    <w:basedOn w:val="31"/>
    <w:link w:val="152"/>
    <w:qFormat/>
    <w:uiPriority w:val="0"/>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152">
    <w:name w:val="IvD bodytext Char"/>
    <w:basedOn w:val="56"/>
    <w:link w:val="151"/>
    <w:qFormat/>
    <w:uiPriority w:val="0"/>
    <w:rPr>
      <w:rFonts w:ascii="Arial" w:hAnsi="Arial"/>
      <w:spacing w:val="2"/>
      <w:lang w:val="en-US" w:eastAsia="en-US"/>
    </w:rPr>
  </w:style>
  <w:style w:type="paragraph" w:customStyle="1" w:styleId="153">
    <w:name w:val="Agreement"/>
    <w:basedOn w:val="1"/>
    <w:next w:val="116"/>
    <w:qFormat/>
    <w:uiPriority w:val="99"/>
    <w:pPr>
      <w:numPr>
        <w:ilvl w:val="0"/>
        <w:numId w:val="14"/>
      </w:numPr>
      <w:tabs>
        <w:tab w:val="left" w:pos="360"/>
      </w:tabs>
      <w:spacing w:before="60"/>
    </w:pPr>
    <w:rPr>
      <w:rFonts w:ascii="Arial" w:hAnsi="Arial" w:eastAsia="MS Mincho" w:cs="Times New Roman"/>
      <w:b/>
      <w:sz w:val="20"/>
      <w:lang w:eastAsia="en-GB"/>
    </w:rPr>
  </w:style>
  <w:style w:type="paragraph" w:customStyle="1" w:styleId="154">
    <w:name w:val="EmailDiscussion2"/>
    <w:basedOn w:val="116"/>
    <w:qFormat/>
    <w:uiPriority w:val="0"/>
    <w:rPr>
      <w:rFonts w:cs="Times New Roman"/>
      <w:sz w:val="20"/>
      <w:lang w:val="en-GB" w:eastAsia="en-GB"/>
    </w:rPr>
  </w:style>
  <w:style w:type="character" w:customStyle="1" w:styleId="155">
    <w:name w:val="Comments Char"/>
    <w:basedOn w:val="56"/>
    <w:link w:val="156"/>
    <w:qFormat/>
    <w:locked/>
    <w:uiPriority w:val="0"/>
    <w:rPr>
      <w:rFonts w:ascii="Arial" w:hAnsi="Arial" w:cs="Arial"/>
      <w:i/>
      <w:iCs/>
    </w:rPr>
  </w:style>
  <w:style w:type="paragraph" w:customStyle="1" w:styleId="156">
    <w:name w:val="Comments"/>
    <w:basedOn w:val="1"/>
    <w:link w:val="155"/>
    <w:qFormat/>
    <w:uiPriority w:val="0"/>
    <w:pPr>
      <w:spacing w:before="40"/>
    </w:pPr>
    <w:rPr>
      <w:rFonts w:ascii="Arial" w:hAnsi="Arial" w:cs="Arial"/>
      <w:i/>
      <w:iCs/>
      <w:sz w:val="20"/>
      <w:szCs w:val="20"/>
      <w:lang w:val="en-GB" w:eastAsia="en-GB"/>
    </w:rPr>
  </w:style>
  <w:style w:type="character" w:customStyle="1" w:styleId="157">
    <w:name w:val="B1 Char"/>
    <w:qFormat/>
    <w:locked/>
    <w:uiPriority w:val="0"/>
    <w:rPr>
      <w:rFonts w:ascii="Times New Roman" w:hAnsi="Times New Roman" w:eastAsia="等线" w:cs="Times New Roman"/>
      <w:color w:val="000000"/>
      <w:kern w:val="0"/>
      <w:sz w:val="20"/>
      <w:szCs w:val="20"/>
      <w:lang w:val="en-GB" w:eastAsia="ja-JP"/>
    </w:rPr>
  </w:style>
  <w:style w:type="character" w:customStyle="1" w:styleId="158">
    <w:name w:val="NO Zchn"/>
    <w:qFormat/>
    <w:uiPriority w:val="0"/>
    <w:rPr>
      <w:lang w:eastAsia="en-US"/>
    </w:rPr>
  </w:style>
  <w:style w:type="character" w:customStyle="1" w:styleId="159">
    <w:name w:val="WW8Num2z1"/>
    <w:qFormat/>
    <w:uiPriority w:val="0"/>
    <w:rPr>
      <w:rFonts w:hint="default" w:ascii="Courier New" w:hAnsi="Courier New" w:cs="Courier New"/>
    </w:rPr>
  </w:style>
  <w:style w:type="paragraph" w:customStyle="1" w:styleId="160">
    <w:name w:val="proposal text"/>
    <w:basedOn w:val="1"/>
    <w:qFormat/>
    <w:uiPriority w:val="0"/>
    <w:pPr>
      <w:overflowPunct w:val="0"/>
      <w:autoSpaceDE w:val="0"/>
      <w:autoSpaceDN w:val="0"/>
      <w:adjustRightInd w:val="0"/>
      <w:spacing w:after="180"/>
      <w:textAlignment w:val="baseline"/>
    </w:pPr>
    <w:rPr>
      <w:rFonts w:ascii="Times New Roman" w:hAnsi="Times New Roman" w:eastAsia="宋体" w:cs="Times New Roman"/>
      <w:sz w:val="20"/>
      <w:szCs w:val="20"/>
      <w:lang w:val="en-GB"/>
    </w:rPr>
  </w:style>
  <w:style w:type="character" w:customStyle="1" w:styleId="161">
    <w:name w:val="B2 Car"/>
    <w:qFormat/>
    <w:uiPriority w:val="0"/>
    <w:rPr>
      <w:rFonts w:ascii="Times New Roman" w:hAnsi="Times New Roman"/>
      <w:lang w:val="en-GB"/>
    </w:rPr>
  </w:style>
  <w:style w:type="character" w:customStyle="1" w:styleId="162">
    <w:name w:val="TAL Char"/>
    <w:qFormat/>
    <w:uiPriority w:val="0"/>
    <w:rPr>
      <w:rFonts w:ascii="Arial" w:hAnsi="Arial" w:eastAsia="Times New Roman"/>
      <w:sz w:val="18"/>
    </w:rPr>
  </w:style>
  <w:style w:type="character" w:customStyle="1" w:styleId="163">
    <w:name w:val="TAH Char"/>
    <w:qFormat/>
    <w:uiPriority w:val="0"/>
    <w:rPr>
      <w:rFonts w:ascii="Arial" w:hAnsi="Arial" w:eastAsia="Times New Roman"/>
      <w:b/>
      <w:sz w:val="18"/>
    </w:rPr>
  </w:style>
  <w:style w:type="character" w:customStyle="1" w:styleId="164">
    <w:name w:val="TAC Char"/>
    <w:link w:val="82"/>
    <w:qFormat/>
    <w:locked/>
    <w:uiPriority w:val="0"/>
    <w:rPr>
      <w:rFonts w:ascii="Arial" w:hAnsi="Arial" w:cstheme="minorBidi"/>
      <w:kern w:val="2"/>
      <w:sz w:val="18"/>
      <w:szCs w:val="22"/>
      <w:lang w:val="zh-CN" w:eastAsia="zh-CN"/>
    </w:rPr>
  </w:style>
  <w:style w:type="paragraph" w:customStyle="1" w:styleId="165">
    <w:name w:val="FL"/>
    <w:basedOn w:val="1"/>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sz w:val="20"/>
      <w:szCs w:val="20"/>
      <w:lang w:val="en-GB" w:eastAsia="en-GB"/>
    </w:rPr>
  </w:style>
  <w:style w:type="paragraph" w:customStyle="1" w:styleId="166">
    <w:name w:val="修订1"/>
    <w:hidden/>
    <w:semiHidden/>
    <w:qFormat/>
    <w:uiPriority w:val="99"/>
    <w:rPr>
      <w:rFonts w:ascii="Times New Roman" w:hAnsi="Times New Roman" w:eastAsia="Times New Roman" w:cs="Times New Roman"/>
      <w:lang w:val="en-GB" w:eastAsia="en-US" w:bidi="ar-SA"/>
    </w:rPr>
  </w:style>
  <w:style w:type="paragraph" w:customStyle="1" w:styleId="167">
    <w:name w:val="B1+"/>
    <w:basedOn w:val="72"/>
    <w:link w:val="168"/>
    <w:qFormat/>
    <w:uiPriority w:val="0"/>
    <w:pPr>
      <w:numPr>
        <w:ilvl w:val="0"/>
        <w:numId w:val="15"/>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168">
    <w:name w:val="B1+ Car"/>
    <w:link w:val="167"/>
    <w:qFormat/>
    <w:uiPriority w:val="0"/>
    <w:rPr>
      <w:rFonts w:ascii="Times New Roman" w:hAnsi="Times New Roman" w:eastAsia="Times New Roman"/>
      <w:kern w:val="2"/>
    </w:rPr>
  </w:style>
  <w:style w:type="character" w:customStyle="1" w:styleId="169">
    <w:name w:val="TF Zchn"/>
    <w:qFormat/>
    <w:uiPriority w:val="0"/>
    <w:rPr>
      <w:rFonts w:ascii="Arial" w:hAnsi="Arial" w:eastAsia="Times New Roman"/>
      <w:b/>
    </w:rPr>
  </w:style>
  <w:style w:type="character" w:customStyle="1" w:styleId="170">
    <w:name w:val="B1 Zchn"/>
    <w:qFormat/>
    <w:locked/>
    <w:uiPriority w:val="0"/>
    <w:rPr>
      <w:lang w:val="en-GB" w:eastAsia="en-US"/>
    </w:rPr>
  </w:style>
  <w:style w:type="paragraph" w:customStyle="1" w:styleId="171">
    <w:name w:val="DECISION"/>
    <w:basedOn w:val="1"/>
    <w:qFormat/>
    <w:uiPriority w:val="0"/>
    <w:pPr>
      <w:numPr>
        <w:ilvl w:val="0"/>
        <w:numId w:val="16"/>
      </w:numPr>
      <w:overflowPunct w:val="0"/>
      <w:autoSpaceDE w:val="0"/>
      <w:autoSpaceDN w:val="0"/>
      <w:adjustRightInd w:val="0"/>
      <w:spacing w:before="120" w:after="120"/>
      <w:textAlignment w:val="baseline"/>
    </w:pPr>
    <w:rPr>
      <w:rFonts w:ascii="Arial" w:hAnsi="Arial" w:eastAsia="Times New Roman" w:cs="Times New Roman"/>
      <w:b/>
      <w:color w:val="0000FF"/>
      <w:sz w:val="20"/>
      <w:szCs w:val="20"/>
      <w:u w:val="single"/>
      <w:lang w:val="en-GB" w:eastAsia="en-US"/>
    </w:rPr>
  </w:style>
  <w:style w:type="paragraph" w:customStyle="1" w:styleId="172">
    <w:name w:val="msonormal"/>
    <w:basedOn w:val="1"/>
    <w:qFormat/>
    <w:uiPriority w:val="0"/>
    <w:pPr>
      <w:spacing w:before="100" w:beforeAutospacing="1" w:after="100" w:afterAutospacing="1"/>
    </w:pPr>
    <w:rPr>
      <w:rFonts w:ascii="Times New Roman" w:hAnsi="Times New Roman" w:eastAsia="Times New Roman" w:cs="Times New Roman"/>
      <w:sz w:val="24"/>
      <w:lang w:eastAsia="en-US"/>
    </w:rPr>
  </w:style>
  <w:style w:type="paragraph" w:customStyle="1" w:styleId="173">
    <w:name w:val="标题4"/>
    <w:basedOn w:val="1"/>
    <w:qFormat/>
    <w:uiPriority w:val="0"/>
    <w:pPr>
      <w:numPr>
        <w:ilvl w:val="0"/>
        <w:numId w:val="17"/>
      </w:numPr>
      <w:spacing w:after="180"/>
    </w:pPr>
    <w:rPr>
      <w:rFonts w:ascii="Times New Roman" w:hAnsi="Times New Roman" w:eastAsia="宋体" w:cs="Times New Roman"/>
      <w:sz w:val="20"/>
      <w:szCs w:val="20"/>
      <w:lang w:val="en-GB" w:eastAsia="en-US"/>
    </w:rPr>
  </w:style>
  <w:style w:type="character" w:customStyle="1" w:styleId="174">
    <w:name w:val="EX Char"/>
    <w:link w:val="79"/>
    <w:qFormat/>
    <w:locked/>
    <w:uiPriority w:val="0"/>
    <w:rPr>
      <w:rFonts w:asciiTheme="minorHAnsi" w:hAnsiTheme="minorHAnsi" w:cstheme="minorBidi"/>
      <w:kern w:val="2"/>
      <w:sz w:val="21"/>
      <w:szCs w:val="22"/>
      <w:lang w:val="en-US" w:eastAsia="zh-CN"/>
    </w:rPr>
  </w:style>
  <w:style w:type="character" w:customStyle="1" w:styleId="175">
    <w:name w:val="H6 Char"/>
    <w:link w:val="8"/>
    <w:qFormat/>
    <w:uiPriority w:val="0"/>
    <w:rPr>
      <w:rFonts w:ascii="Arial" w:hAnsi="Arial"/>
      <w:lang w:eastAsia="ja-JP"/>
    </w:rPr>
  </w:style>
  <w:style w:type="paragraph" w:customStyle="1" w:styleId="176">
    <w:name w:val="First Change"/>
    <w:basedOn w:val="1"/>
    <w:qFormat/>
    <w:uiPriority w:val="0"/>
    <w:pPr>
      <w:spacing w:after="180"/>
      <w:jc w:val="center"/>
    </w:pPr>
    <w:rPr>
      <w:rFonts w:ascii="Times New Roman" w:hAnsi="Times New Roman" w:eastAsia="Times New Roman" w:cs="Times New Roman"/>
      <w:color w:val="FF0000"/>
      <w:sz w:val="20"/>
      <w:szCs w:val="20"/>
      <w:lang w:val="en-GB" w:eastAsia="en-US"/>
    </w:rPr>
  </w:style>
  <w:style w:type="paragraph" w:customStyle="1" w:styleId="177">
    <w:name w:val="Normal + Arial"/>
    <w:basedOn w:val="1"/>
    <w:qFormat/>
    <w:uiPriority w:val="0"/>
    <w:pPr>
      <w:keepNext/>
      <w:keepLines/>
      <w:overflowPunct w:val="0"/>
      <w:autoSpaceDE w:val="0"/>
      <w:autoSpaceDN w:val="0"/>
      <w:adjustRightInd w:val="0"/>
      <w:ind w:left="600" w:leftChars="300"/>
      <w:textAlignment w:val="baseline"/>
    </w:pPr>
    <w:rPr>
      <w:rFonts w:ascii="Arial" w:hAnsi="Arial" w:eastAsia="Times New Roman" w:cs="Arial"/>
      <w:sz w:val="18"/>
      <w:szCs w:val="18"/>
      <w:lang w:val="en-GB" w:eastAsia="ja-JP"/>
    </w:rPr>
  </w:style>
  <w:style w:type="paragraph" w:customStyle="1" w:styleId="178">
    <w:name w:val="插图题注"/>
    <w:basedOn w:val="1"/>
    <w:qFormat/>
    <w:uiPriority w:val="0"/>
    <w:pPr>
      <w:spacing w:after="180"/>
    </w:pPr>
    <w:rPr>
      <w:rFonts w:ascii="Times New Roman" w:hAnsi="Times New Roman" w:eastAsia="宋体" w:cs="Times New Roman"/>
      <w:sz w:val="20"/>
      <w:szCs w:val="20"/>
      <w:lang w:val="en-GB" w:eastAsia="en-US"/>
    </w:rPr>
  </w:style>
  <w:style w:type="paragraph" w:customStyle="1" w:styleId="179">
    <w:name w:val="表格题注"/>
    <w:basedOn w:val="1"/>
    <w:qFormat/>
    <w:uiPriority w:val="0"/>
    <w:pPr>
      <w:spacing w:after="180"/>
    </w:pPr>
    <w:rPr>
      <w:rFonts w:ascii="Times New Roman" w:hAnsi="Times New Roman" w:eastAsia="宋体" w:cs="Times New Roman"/>
      <w:sz w:val="20"/>
      <w:szCs w:val="20"/>
      <w:lang w:val="en-GB" w:eastAsia="en-US"/>
    </w:rPr>
  </w:style>
  <w:style w:type="character" w:customStyle="1" w:styleId="180">
    <w:name w:val="15"/>
    <w:qFormat/>
    <w:uiPriority w:val="0"/>
    <w:rPr>
      <w:rFonts w:hint="default" w:ascii="CG Times (WN)" w:hAnsi="CG Times (WN)"/>
      <w:i/>
      <w:iCs/>
    </w:rPr>
  </w:style>
  <w:style w:type="paragraph" w:customStyle="1" w:styleId="181">
    <w:name w:val="tah"/>
    <w:basedOn w:val="1"/>
    <w:qFormat/>
    <w:uiPriority w:val="0"/>
    <w:pPr>
      <w:spacing w:before="100" w:beforeAutospacing="1" w:after="100" w:afterAutospacing="1"/>
    </w:pPr>
    <w:rPr>
      <w:rFonts w:ascii="Times New Roman" w:hAnsi="Times New Roman" w:eastAsia="Calibri" w:cs="Times New Roman"/>
      <w:sz w:val="24"/>
      <w:lang w:eastAsia="en-GB"/>
    </w:rPr>
  </w:style>
  <w:style w:type="character" w:customStyle="1" w:styleId="182">
    <w:name w:val="st"/>
    <w:qFormat/>
    <w:uiPriority w:val="0"/>
  </w:style>
  <w:style w:type="table" w:customStyle="1" w:styleId="183">
    <w:name w:val="网格型1"/>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
    <w:name w:val="题注 字符"/>
    <w:link w:val="28"/>
    <w:qFormat/>
    <w:uiPriority w:val="0"/>
    <w:rPr>
      <w:rFonts w:asciiTheme="minorHAnsi" w:hAnsiTheme="minorHAnsi" w:cstheme="minorBidi"/>
      <w:b/>
      <w:kern w:val="2"/>
      <w:sz w:val="21"/>
      <w:szCs w:val="22"/>
      <w:lang w:val="en-US"/>
    </w:rPr>
  </w:style>
  <w:style w:type="paragraph" w:customStyle="1" w:styleId="185">
    <w:name w:val="Doc-title"/>
    <w:basedOn w:val="1"/>
    <w:next w:val="116"/>
    <w:link w:val="186"/>
    <w:qFormat/>
    <w:uiPriority w:val="0"/>
    <w:pPr>
      <w:spacing w:before="60"/>
      <w:ind w:left="1259" w:hanging="1259"/>
    </w:pPr>
    <w:rPr>
      <w:rFonts w:ascii="Arial" w:hAnsi="Arial" w:eastAsia="MS Mincho" w:cs="Times New Roman"/>
      <w:kern w:val="0"/>
      <w:sz w:val="20"/>
      <w:lang w:val="en-GB" w:eastAsia="en-GB"/>
    </w:rPr>
  </w:style>
  <w:style w:type="character" w:customStyle="1" w:styleId="186">
    <w:name w:val="Doc-title Char"/>
    <w:link w:val="185"/>
    <w:qFormat/>
    <w:uiPriority w:val="0"/>
    <w:rPr>
      <w:rFonts w:ascii="Arial" w:hAnsi="Arial" w:eastAsia="MS Mincho"/>
      <w:szCs w:val="24"/>
    </w:rPr>
  </w:style>
  <w:style w:type="paragraph" w:customStyle="1" w:styleId="187">
    <w:name w:val="MiniHeading"/>
    <w:basedOn w:val="156"/>
    <w:qFormat/>
    <w:uiPriority w:val="0"/>
    <w:pPr>
      <w:spacing w:before="180"/>
    </w:pPr>
    <w:rPr>
      <w:rFonts w:eastAsia="MS Mincho" w:cs="Times New Roman"/>
      <w:iCs w:val="0"/>
      <w:kern w:val="0"/>
      <w:sz w:val="18"/>
      <w:szCs w:val="24"/>
      <w:u w:val="single"/>
      <w:lang w:val="en-US"/>
    </w:rPr>
  </w:style>
  <w:style w:type="character" w:customStyle="1" w:styleId="188">
    <w:name w:val="B3 Char"/>
    <w:qFormat/>
    <w:uiPriority w:val="0"/>
    <w:rPr>
      <w:rFonts w:eastAsia="Times New Roman"/>
    </w:rPr>
  </w:style>
  <w:style w:type="paragraph" w:customStyle="1" w:styleId="18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9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kern w:val="0"/>
      <w:lang w:val="sv-SE" w:eastAsia="ko-KR"/>
    </w:rPr>
  </w:style>
  <w:style w:type="character" w:customStyle="1" w:styleId="191">
    <w:name w:val="apple-converted-space"/>
    <w:basedOn w:val="56"/>
    <w:qFormat/>
    <w:uiPriority w:val="0"/>
  </w:style>
  <w:style w:type="character" w:customStyle="1" w:styleId="192">
    <w:name w:val="正文文本 2 字符"/>
    <w:basedOn w:val="56"/>
    <w:link w:val="46"/>
    <w:qFormat/>
    <w:uiPriority w:val="0"/>
    <w:rPr>
      <w:rFonts w:ascii="Times New Roman" w:hAnsi="Times New Roman" w:eastAsia="MS Mincho"/>
      <w:sz w:val="24"/>
      <w:lang w:eastAsia="en-US"/>
    </w:rPr>
  </w:style>
  <w:style w:type="paragraph" w:customStyle="1" w:styleId="193">
    <w:name w:val="b3"/>
    <w:basedOn w:val="1"/>
    <w:qFormat/>
    <w:uiPriority w:val="0"/>
    <w:pPr>
      <w:overflowPunct w:val="0"/>
      <w:autoSpaceDE w:val="0"/>
      <w:autoSpaceDN w:val="0"/>
      <w:spacing w:after="180" w:line="259" w:lineRule="auto"/>
      <w:ind w:left="1135" w:hanging="284"/>
    </w:pPr>
    <w:rPr>
      <w:rFonts w:ascii="Times New Roman" w:hAnsi="Times New Roman" w:eastAsia="Times New Roman" w:cs="Times New Roman"/>
      <w:kern w:val="0"/>
      <w:sz w:val="20"/>
      <w:szCs w:val="20"/>
      <w:lang w:val="en-GB" w:eastAsia="en-GB"/>
    </w:rPr>
  </w:style>
  <w:style w:type="character" w:customStyle="1" w:styleId="194">
    <w:name w:val="B8 Char"/>
    <w:link w:val="110"/>
    <w:qFormat/>
    <w:uiPriority w:val="0"/>
    <w:rPr>
      <w:rFonts w:ascii="Times New Roman" w:hAnsi="Times New Roman" w:cstheme="minorBidi"/>
      <w:kern w:val="2"/>
      <w:sz w:val="21"/>
      <w:szCs w:val="22"/>
      <w:lang w:val="en-US" w:eastAsia="ja-JP"/>
    </w:rPr>
  </w:style>
  <w:style w:type="character" w:customStyle="1" w:styleId="195">
    <w:name w:val="ui-provider"/>
    <w:basedOn w:val="56"/>
    <w:qFormat/>
    <w:uiPriority w:val="0"/>
  </w:style>
  <w:style w:type="table" w:customStyle="1" w:styleId="196">
    <w:name w:val="网格型2"/>
    <w:basedOn w:val="53"/>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
    <w:name w:val="pf0"/>
    <w:basedOn w:val="1"/>
    <w:qFormat/>
    <w:uiPriority w:val="0"/>
    <w:pPr>
      <w:spacing w:before="100" w:beforeAutospacing="1" w:after="100" w:afterAutospacing="1"/>
      <w:ind w:left="1120"/>
    </w:pPr>
    <w:rPr>
      <w:rFonts w:ascii="Times New Roman" w:hAnsi="Times New Roman" w:eastAsia="Times New Roman" w:cs="Times New Roman"/>
      <w:kern w:val="0"/>
      <w:sz w:val="24"/>
      <w:lang w:eastAsia="en-US"/>
    </w:rPr>
  </w:style>
  <w:style w:type="table" w:customStyle="1" w:styleId="198">
    <w:name w:val="网格型3"/>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网格型4"/>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标题 字符"/>
    <w:basedOn w:val="56"/>
    <w:link w:val="51"/>
    <w:qFormat/>
    <w:uiPriority w:val="10"/>
    <w:rPr>
      <w:rFonts w:ascii="Arial" w:hAnsi="Arial" w:cs="Arial"/>
      <w:b/>
      <w:bCs/>
      <w:kern w:val="28"/>
      <w:lang w:eastAsia="en-US"/>
    </w:rPr>
  </w:style>
  <w:style w:type="paragraph" w:customStyle="1" w:styleId="201">
    <w:name w:val="修订2"/>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202">
    <w:name w:val="修订3"/>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203">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04">
    <w:name w:val="修订5"/>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05">
    <w:name w:val="修订6"/>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06">
    <w:name w:val="修订7"/>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207">
    <w:name w:val="修订8"/>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208">
    <w:name w:val="Revision"/>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datastoreItem>
</file>

<file path=customXml/itemProps2.xml><?xml version="1.0" encoding="utf-8"?>
<ds:datastoreItem xmlns:ds="http://schemas.openxmlformats.org/officeDocument/2006/customXml" ds:itemID="{40ADFA43-DB3F-44A4-8236-EC60F779B826}">
  <ds:schemaRefs/>
</ds:datastoreItem>
</file>

<file path=customXml/itemProps3.xml><?xml version="1.0" encoding="utf-8"?>
<ds:datastoreItem xmlns:ds="http://schemas.openxmlformats.org/officeDocument/2006/customXml" ds:itemID="{5E73D4AF-356F-4584-82ED-ED195AD3E614}">
  <ds:schemaRefs/>
</ds:datastoreItem>
</file>

<file path=customXml/itemProps4.xml><?xml version="1.0" encoding="utf-8"?>
<ds:datastoreItem xmlns:ds="http://schemas.openxmlformats.org/officeDocument/2006/customXml" ds:itemID="{8B854ED7-CCA7-494E-BACC-2120E68FAE93}">
  <ds:schemaRefs/>
</ds:datastoreItem>
</file>

<file path=docProps/app.xml><?xml version="1.0" encoding="utf-8"?>
<Properties xmlns="http://schemas.openxmlformats.org/officeDocument/2006/extended-properties" xmlns:vt="http://schemas.openxmlformats.org/officeDocument/2006/docPropsVTypes">
  <Template>Normal.dotm</Template>
  <Company>CSCN</Company>
  <Pages>6</Pages>
  <Words>2360</Words>
  <Characters>12595</Characters>
  <Lines>131</Lines>
  <Paragraphs>37</Paragraphs>
  <TotalTime>64</TotalTime>
  <ScaleCrop>false</ScaleCrop>
  <LinksUpToDate>false</LinksUpToDate>
  <CharactersWithSpaces>14883</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2025-02-06T10:09:00Z</dcterms:created>
  <dc:creator>TENGRUI (CSCN)</dc:creator>
  <cp:keywords>3GPP; CSCN; TDoc</cp:keywords>
  <cp:lastModifiedBy>tengrui</cp:lastModifiedBy>
  <cp:lastPrinted>2008-01-31T07:09:00Z</cp:lastPrinted>
  <dcterms:modified xsi:type="dcterms:W3CDTF">2025-03-28T08:48:22Z</dcterms:modified>
  <dc:title>CSCN</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2052-11.1.0.12165</vt:lpwstr>
  </property>
  <property fmtid="{D5CDD505-2E9C-101B-9397-08002B2CF9AE}" pid="5" name="ICV">
    <vt:lpwstr>DFAA0023ACEB47EB930751C3C5CD19B4</vt:lpwstr>
  </property>
</Properties>
</file>